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spacing w:before="340" w:beforeLines="0" w:line="578" w:lineRule="auto"/>
        <w:jc w:val="center"/>
        <w:outlineLvl w:val="0"/>
        <w:rPr>
          <w:rFonts w:hint="eastAsia" w:ascii="宋体" w:hAnsi="宋体" w:eastAsia="宋体" w:cs="宋体"/>
          <w:b/>
          <w:bCs/>
          <w:color w:val="000000"/>
          <w:kern w:val="0"/>
          <w:sz w:val="21"/>
          <w:szCs w:val="21"/>
          <w:lang w:eastAsia="zh-CN"/>
        </w:rPr>
      </w:pPr>
      <w:bookmarkStart w:id="0" w:name="_GoBack"/>
      <w:bookmarkEnd w:id="0"/>
      <w:r>
        <w:rPr>
          <w:rFonts w:hint="eastAsia" w:ascii="宋体" w:hAnsi="宋体" w:eastAsia="宋体" w:cs="宋体"/>
          <w:b/>
          <w:bCs/>
          <w:color w:val="000000"/>
          <w:kern w:val="0"/>
          <w:sz w:val="21"/>
          <w:szCs w:val="21"/>
          <w:lang w:val="en-US" w:eastAsia="zh-CN"/>
        </w:rPr>
        <w:t>附件2：</w:t>
      </w:r>
      <w:r>
        <w:rPr>
          <w:rFonts w:hint="eastAsia" w:ascii="宋体" w:hAnsi="宋体" w:eastAsia="宋体" w:cs="宋体"/>
          <w:b/>
          <w:bCs/>
          <w:color w:val="000000"/>
          <w:kern w:val="0"/>
          <w:sz w:val="21"/>
          <w:szCs w:val="21"/>
          <w:lang w:eastAsia="zh-CN"/>
        </w:rPr>
        <w:t>固定污染源在线设施日常维护要求及服务规范</w:t>
      </w:r>
    </w:p>
    <w:p>
      <w:pPr>
        <w:pStyle w:val="4"/>
        <w:spacing w:line="360" w:lineRule="auto"/>
        <w:ind w:firstLine="420" w:firstLineChars="200"/>
        <w:jc w:val="center"/>
        <w:rPr>
          <w:rFonts w:ascii="Times New Roman" w:hAnsi="Times New Roman" w:eastAsia="宋体" w:cs="Times New Roman"/>
          <w:color w:val="000000"/>
          <w:szCs w:val="21"/>
        </w:rPr>
      </w:pPr>
      <w:r>
        <w:rPr>
          <w:rFonts w:ascii="Times New Roman" w:hAnsi="宋体" w:eastAsia="宋体" w:cs="Times New Roman"/>
          <w:color w:val="000000"/>
          <w:kern w:val="0"/>
          <w:szCs w:val="21"/>
        </w:rPr>
        <w:t>表</w:t>
      </w:r>
      <w:r>
        <w:rPr>
          <w:rFonts w:ascii="Times New Roman" w:hAnsi="Times New Roman" w:eastAsia="宋体" w:cs="Times New Roman"/>
          <w:color w:val="000000"/>
          <w:kern w:val="0"/>
          <w:szCs w:val="21"/>
        </w:rPr>
        <w:t xml:space="preserve">A1 </w:t>
      </w:r>
      <w:r>
        <w:rPr>
          <w:rFonts w:ascii="Times New Roman" w:hAnsi="Times New Roman" w:eastAsia="宋体" w:cs="Times New Roman"/>
          <w:color w:val="000000"/>
          <w:szCs w:val="21"/>
        </w:rPr>
        <w:t>采样系统服务内容及规范</w:t>
      </w:r>
    </w:p>
    <w:tbl>
      <w:tblPr>
        <w:tblStyle w:val="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11"/>
        <w:gridCol w:w="2268"/>
        <w:gridCol w:w="4231"/>
        <w:gridCol w:w="18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blHeader/>
          <w:jc w:val="center"/>
        </w:trPr>
        <w:tc>
          <w:tcPr>
            <w:tcW w:w="1111" w:type="dxa"/>
            <w:tcBorders>
              <w:top w:val="single" w:color="auto" w:sz="8" w:space="0"/>
              <w:left w:val="single" w:color="auto" w:sz="8" w:space="0"/>
              <w:bottom w:val="single" w:color="auto" w:sz="4" w:space="0"/>
              <w:right w:val="single" w:color="auto" w:sz="8" w:space="0"/>
            </w:tcBorders>
            <w:shd w:val="clear" w:color="auto" w:fill="D9D9D9"/>
            <w:noWrap w:val="0"/>
            <w:vAlign w:val="center"/>
          </w:tcPr>
          <w:p>
            <w:pPr>
              <w:pStyle w:val="4"/>
              <w:adjustRightInd w:val="0"/>
              <w:snapToGrid w:val="0"/>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服务对象</w:t>
            </w:r>
          </w:p>
        </w:tc>
        <w:tc>
          <w:tcPr>
            <w:tcW w:w="2268" w:type="dxa"/>
            <w:tcBorders>
              <w:top w:val="single" w:color="auto" w:sz="8" w:space="0"/>
              <w:left w:val="nil"/>
              <w:bottom w:val="single" w:color="auto" w:sz="4" w:space="0"/>
              <w:right w:val="single" w:color="auto" w:sz="8" w:space="0"/>
            </w:tcBorders>
            <w:shd w:val="clear" w:color="auto" w:fill="D9D9D9"/>
            <w:noWrap w:val="0"/>
            <w:vAlign w:val="center"/>
          </w:tcPr>
          <w:p>
            <w:pPr>
              <w:pStyle w:val="4"/>
              <w:adjustRightInd w:val="0"/>
              <w:snapToGrid w:val="0"/>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服务内容</w:t>
            </w:r>
          </w:p>
        </w:tc>
        <w:tc>
          <w:tcPr>
            <w:tcW w:w="4231" w:type="dxa"/>
            <w:tcBorders>
              <w:top w:val="single" w:color="auto" w:sz="8" w:space="0"/>
              <w:left w:val="nil"/>
              <w:bottom w:val="single" w:color="auto" w:sz="4" w:space="0"/>
              <w:right w:val="single" w:color="auto" w:sz="8" w:space="0"/>
            </w:tcBorders>
            <w:shd w:val="clear" w:color="auto" w:fill="D9D9D9"/>
            <w:noWrap w:val="0"/>
            <w:vAlign w:val="center"/>
          </w:tcPr>
          <w:p>
            <w:pPr>
              <w:pStyle w:val="4"/>
              <w:adjustRightInd w:val="0"/>
              <w:snapToGrid w:val="0"/>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服务规范</w:t>
            </w:r>
          </w:p>
        </w:tc>
        <w:tc>
          <w:tcPr>
            <w:tcW w:w="1889" w:type="dxa"/>
            <w:tcBorders>
              <w:top w:val="single" w:color="auto" w:sz="8" w:space="0"/>
              <w:left w:val="nil"/>
              <w:bottom w:val="single" w:color="auto" w:sz="4" w:space="0"/>
              <w:right w:val="single" w:color="auto" w:sz="8" w:space="0"/>
            </w:tcBorders>
            <w:shd w:val="clear" w:color="auto" w:fill="D9D9D9"/>
            <w:noWrap w:val="0"/>
            <w:vAlign w:val="center"/>
          </w:tcPr>
          <w:p>
            <w:pPr>
              <w:pStyle w:val="4"/>
              <w:adjustRightInd w:val="0"/>
              <w:snapToGrid w:val="0"/>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服务频率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jc w:val="center"/>
        </w:trPr>
        <w:tc>
          <w:tcPr>
            <w:tcW w:w="1111" w:type="dxa"/>
            <w:vMerge w:val="restart"/>
            <w:tcBorders>
              <w:top w:val="single" w:color="auto" w:sz="4" w:space="0"/>
              <w:left w:val="single" w:color="auto" w:sz="4" w:space="0"/>
              <w:bottom w:val="single" w:color="auto" w:sz="4" w:space="0"/>
              <w:right w:val="single" w:color="auto" w:sz="4" w:space="0"/>
            </w:tcBorders>
            <w:noWrap w:val="0"/>
            <w:vAlign w:val="center"/>
          </w:tcPr>
          <w:p>
            <w:pPr>
              <w:pStyle w:val="5"/>
              <w:spacing w:line="240" w:lineRule="auto"/>
            </w:pPr>
            <w:r>
              <w:rPr>
                <w:rFonts w:hint="eastAsia" w:ascii="Times New Roman" w:hAnsi="Times New Roman"/>
                <w:b w:val="0"/>
                <w:bCs w:val="0"/>
                <w:color w:val="000000"/>
                <w:kern w:val="0"/>
                <w:sz w:val="18"/>
                <w:szCs w:val="18"/>
              </w:rPr>
              <w:t>水</w:t>
            </w:r>
            <w:r>
              <w:rPr>
                <w:rFonts w:ascii="Times New Roman" w:hAnsi="Times New Roman"/>
                <w:b w:val="0"/>
                <w:bCs w:val="0"/>
                <w:color w:val="000000"/>
                <w:kern w:val="0"/>
                <w:sz w:val="18"/>
                <w:szCs w:val="18"/>
              </w:rPr>
              <w:t>污染源采样系统</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⑴</w:t>
            </w:r>
            <w:r>
              <w:rPr>
                <w:rFonts w:ascii="Times New Roman" w:hAnsi="Times New Roman" w:eastAsia="宋体" w:cs="Times New Roman"/>
                <w:color w:val="000000"/>
                <w:kern w:val="0"/>
                <w:sz w:val="18"/>
                <w:szCs w:val="18"/>
              </w:rPr>
              <w:t>检查采样探头</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安装位置符合要求、牢固，探头清洁。</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111" w:type="dxa"/>
            <w:vMerge w:val="continue"/>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⑵</w:t>
            </w:r>
            <w:r>
              <w:rPr>
                <w:rFonts w:ascii="Times New Roman" w:hAnsi="Times New Roman" w:eastAsia="宋体" w:cs="Times New Roman"/>
                <w:color w:val="000000"/>
                <w:kern w:val="0"/>
                <w:sz w:val="18"/>
                <w:szCs w:val="18"/>
              </w:rPr>
              <w:t>检查采样管路和阀件</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无腐蚀、破损、堵塞现象。</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1111" w:type="dxa"/>
            <w:vMerge w:val="continue"/>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⑶</w:t>
            </w:r>
            <w:r>
              <w:rPr>
                <w:rFonts w:ascii="Times New Roman" w:hAnsi="Times New Roman" w:eastAsia="宋体" w:cs="Times New Roman"/>
                <w:color w:val="000000"/>
                <w:kern w:val="0"/>
                <w:sz w:val="18"/>
                <w:szCs w:val="18"/>
              </w:rPr>
              <w:t>检查反冲洗管路</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反冲洗气源或水源洁净无干扰测量的物质且供应正常，无稀释或吸附采集样品的现象。</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1111" w:type="dxa"/>
            <w:vMerge w:val="continue"/>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⑷</w:t>
            </w:r>
            <w:r>
              <w:rPr>
                <w:rFonts w:ascii="Times New Roman" w:hAnsi="Times New Roman" w:eastAsia="宋体" w:cs="Times New Roman"/>
                <w:color w:val="000000"/>
                <w:kern w:val="0"/>
                <w:sz w:val="18"/>
                <w:szCs w:val="18"/>
              </w:rPr>
              <w:t>检查采样泵</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运行正常，无漏气、漏液现象。</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1111" w:type="dxa"/>
            <w:vMerge w:val="continue"/>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kern w:val="0"/>
                <w:sz w:val="18"/>
                <w:szCs w:val="18"/>
              </w:rPr>
            </w:pPr>
            <w:r>
              <w:rPr>
                <w:rFonts w:ascii="Times New Roman" w:hAnsi="宋体" w:eastAsia="宋体" w:cs="Times New Roman"/>
                <w:color w:val="000000"/>
                <w:kern w:val="0"/>
                <w:sz w:val="18"/>
                <w:szCs w:val="18"/>
              </w:rPr>
              <w:t>⑸</w:t>
            </w:r>
            <w:r>
              <w:rPr>
                <w:rFonts w:ascii="Times New Roman" w:hAnsi="Times New Roman" w:eastAsia="宋体" w:cs="Times New Roman"/>
                <w:kern w:val="0"/>
                <w:sz w:val="18"/>
                <w:szCs w:val="18"/>
              </w:rPr>
              <w:t>检查</w:t>
            </w:r>
            <w:r>
              <w:rPr>
                <w:rFonts w:hint="eastAsia" w:ascii="Times New Roman" w:hAnsi="Times New Roman" w:eastAsia="宋体" w:cs="Times New Roman"/>
                <w:kern w:val="0"/>
                <w:sz w:val="18"/>
                <w:szCs w:val="18"/>
              </w:rPr>
              <w:t>水质自动采样器运行</w:t>
            </w:r>
            <w:r>
              <w:rPr>
                <w:rFonts w:ascii="Times New Roman" w:hAnsi="Times New Roman" w:eastAsia="宋体" w:cs="Times New Roman"/>
                <w:kern w:val="0"/>
                <w:sz w:val="18"/>
                <w:szCs w:val="18"/>
              </w:rPr>
              <w:t>状态</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rPr>
              <w:t>运行正常，无漏液、腐蚀现象，过滤器清洁，且无过度处理现象，采水压力正常</w:t>
            </w:r>
            <w:r>
              <w:rPr>
                <w:rFonts w:hint="eastAsia" w:ascii="Times New Roman" w:hAnsi="Times New Roman" w:eastAsia="宋体" w:cs="Times New Roman"/>
                <w:color w:val="000000"/>
                <w:kern w:val="0"/>
                <w:sz w:val="18"/>
                <w:szCs w:val="18"/>
              </w:rPr>
              <w:t>；</w:t>
            </w:r>
            <w:r>
              <w:rPr>
                <w:rFonts w:hint="eastAsia" w:ascii="Times New Roman" w:hAnsi="Times New Roman" w:eastAsia="宋体" w:cs="Times New Roman"/>
                <w:kern w:val="0"/>
                <w:sz w:val="18"/>
                <w:szCs w:val="18"/>
              </w:rPr>
              <w:t>采样桶和留样系统正常工作，留样保存温度正常。</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1111" w:type="dxa"/>
            <w:vMerge w:val="continue"/>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⑹</w:t>
            </w:r>
            <w:r>
              <w:rPr>
                <w:rFonts w:ascii="Times New Roman" w:hAnsi="Times New Roman" w:eastAsia="宋体" w:cs="Times New Roman"/>
                <w:color w:val="000000"/>
                <w:kern w:val="0"/>
                <w:sz w:val="18"/>
                <w:szCs w:val="18"/>
              </w:rPr>
              <w:t>检查采样点与分析仪器连接情况</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连接正常，进水阀、排水阀等均可正常打开，无给排水管路外的其他旁路。</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111" w:type="dxa"/>
            <w:vMerge w:val="restart"/>
            <w:tcBorders>
              <w:top w:val="single" w:color="auto" w:sz="4" w:space="0"/>
              <w:left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烟气采样系统</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⑴</w:t>
            </w:r>
            <w:r>
              <w:rPr>
                <w:rFonts w:ascii="Times New Roman" w:hAnsi="Times New Roman" w:eastAsia="宋体" w:cs="Times New Roman"/>
                <w:color w:val="000000"/>
                <w:kern w:val="0"/>
                <w:sz w:val="18"/>
                <w:szCs w:val="18"/>
              </w:rPr>
              <w:t>检查样气流量</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样气流量需在仪器设备说明书中要求的流量范围内。</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111" w:type="dxa"/>
            <w:vMerge w:val="continue"/>
            <w:tcBorders>
              <w:left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⑵</w:t>
            </w:r>
            <w:r>
              <w:rPr>
                <w:rFonts w:ascii="Times New Roman" w:hAnsi="Times New Roman" w:eastAsia="宋体" w:cs="Times New Roman"/>
                <w:color w:val="000000"/>
                <w:kern w:val="0"/>
                <w:sz w:val="18"/>
                <w:szCs w:val="18"/>
              </w:rPr>
              <w:t>检查采样泵</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采样泵正常工作（无异响、异味等）。</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111" w:type="dxa"/>
            <w:vMerge w:val="continue"/>
            <w:tcBorders>
              <w:left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⑶</w:t>
            </w:r>
            <w:r>
              <w:rPr>
                <w:rFonts w:ascii="Times New Roman" w:hAnsi="Times New Roman" w:eastAsia="宋体" w:cs="Times New Roman"/>
                <w:color w:val="000000"/>
                <w:kern w:val="0"/>
                <w:sz w:val="18"/>
                <w:szCs w:val="18"/>
              </w:rPr>
              <w:t>检查采样探头及滤芯</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加热采样探头内部及滤芯无</w:t>
            </w:r>
            <w:r>
              <w:rPr>
                <w:rFonts w:hint="eastAsia" w:ascii="Times New Roman" w:hAnsi="Times New Roman" w:eastAsia="宋体" w:cs="Times New Roman"/>
                <w:color w:val="000000"/>
                <w:kern w:val="0"/>
                <w:sz w:val="18"/>
                <w:szCs w:val="18"/>
              </w:rPr>
              <w:t>沾污</w:t>
            </w:r>
            <w:r>
              <w:rPr>
                <w:rFonts w:ascii="Times New Roman" w:hAnsi="Times New Roman" w:eastAsia="宋体" w:cs="Times New Roman"/>
                <w:color w:val="000000"/>
                <w:kern w:val="0"/>
                <w:sz w:val="18"/>
                <w:szCs w:val="18"/>
              </w:rPr>
              <w:t>和堵塞现象，过滤器加热温度符合仪器说明书要求。</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1111" w:type="dxa"/>
            <w:vMerge w:val="continue"/>
            <w:tcBorders>
              <w:left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⑷</w:t>
            </w:r>
            <w:r>
              <w:rPr>
                <w:rFonts w:ascii="Times New Roman" w:hAnsi="Times New Roman" w:eastAsia="宋体" w:cs="Times New Roman"/>
                <w:color w:val="000000"/>
                <w:kern w:val="0"/>
                <w:sz w:val="18"/>
                <w:szCs w:val="18"/>
              </w:rPr>
              <w:t>检查采样管</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使用伴热管线进行采样，测量SO</w:t>
            </w:r>
            <w:r>
              <w:rPr>
                <w:rFonts w:ascii="Times New Roman" w:hAnsi="Times New Roman" w:eastAsia="宋体" w:cs="Times New Roman"/>
                <w:color w:val="000000"/>
                <w:kern w:val="0"/>
                <w:sz w:val="18"/>
                <w:szCs w:val="18"/>
                <w:vertAlign w:val="subscript"/>
              </w:rPr>
              <w:t>2</w:t>
            </w:r>
            <w:r>
              <w:rPr>
                <w:rFonts w:hint="eastAsia" w:ascii="Times New Roman" w:hAnsi="Times New Roman" w:eastAsia="宋体" w:cs="Times New Roman"/>
                <w:color w:val="000000"/>
                <w:kern w:val="0"/>
                <w:sz w:val="18"/>
                <w:szCs w:val="18"/>
              </w:rPr>
              <w:t>的</w:t>
            </w:r>
            <w:r>
              <w:rPr>
                <w:rFonts w:ascii="Times New Roman" w:hAnsi="Times New Roman" w:eastAsia="宋体" w:cs="Times New Roman"/>
                <w:color w:val="000000"/>
                <w:kern w:val="0"/>
                <w:sz w:val="18"/>
                <w:szCs w:val="18"/>
              </w:rPr>
              <w:t>伴热温度不低于120</w:t>
            </w:r>
            <w:r>
              <w:rPr>
                <w:rFonts w:ascii="Times New Roman" w:hAnsi="宋体" w:eastAsia="宋体" w:cs="Times New Roman"/>
                <w:color w:val="000000"/>
                <w:kern w:val="0"/>
                <w:sz w:val="18"/>
                <w:szCs w:val="18"/>
              </w:rPr>
              <w:t>℃</w:t>
            </w:r>
            <w:r>
              <w:rPr>
                <w:rFonts w:ascii="Times New Roman" w:hAnsi="Times New Roman" w:eastAsia="宋体" w:cs="Times New Roman"/>
                <w:color w:val="000000"/>
                <w:kern w:val="0"/>
                <w:sz w:val="18"/>
                <w:szCs w:val="18"/>
              </w:rPr>
              <w:t>，测量</w:t>
            </w:r>
            <w:r>
              <w:rPr>
                <w:rFonts w:hint="eastAsia" w:ascii="Times New Roman" w:hAnsi="Times New Roman" w:eastAsia="宋体" w:cs="Times New Roman"/>
                <w:color w:val="000000"/>
                <w:kern w:val="0"/>
                <w:sz w:val="18"/>
                <w:szCs w:val="18"/>
              </w:rPr>
              <w:t>HCL</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H</w:t>
            </w:r>
            <w:r>
              <w:rPr>
                <w:rFonts w:ascii="Times New Roman" w:hAnsi="Times New Roman" w:eastAsia="宋体" w:cs="Times New Roman"/>
                <w:color w:val="000000"/>
                <w:kern w:val="0"/>
                <w:sz w:val="18"/>
                <w:szCs w:val="18"/>
              </w:rPr>
              <w:t>F等</w:t>
            </w:r>
            <w:r>
              <w:rPr>
                <w:rFonts w:hint="eastAsia" w:ascii="Times New Roman" w:hAnsi="Times New Roman" w:eastAsia="宋体" w:cs="Times New Roman"/>
                <w:color w:val="000000"/>
                <w:kern w:val="0"/>
                <w:sz w:val="18"/>
                <w:szCs w:val="18"/>
              </w:rPr>
              <w:t>的</w:t>
            </w:r>
            <w:r>
              <w:rPr>
                <w:rFonts w:ascii="Times New Roman" w:hAnsi="Times New Roman" w:eastAsia="宋体" w:cs="Times New Roman"/>
                <w:color w:val="000000"/>
                <w:kern w:val="0"/>
                <w:sz w:val="18"/>
                <w:szCs w:val="18"/>
              </w:rPr>
              <w:t>伴热温度不低于180</w:t>
            </w:r>
            <w:r>
              <w:rPr>
                <w:rFonts w:ascii="Times New Roman" w:hAnsi="宋体" w:eastAsia="宋体" w:cs="Times New Roman"/>
                <w:color w:val="000000"/>
                <w:kern w:val="0"/>
                <w:sz w:val="18"/>
                <w:szCs w:val="18"/>
              </w:rPr>
              <w:t>℃</w:t>
            </w:r>
            <w:r>
              <w:rPr>
                <w:rFonts w:ascii="Times New Roman" w:hAnsi="Times New Roman" w:eastAsia="宋体" w:cs="Times New Roman"/>
                <w:color w:val="000000"/>
                <w:kern w:val="0"/>
                <w:sz w:val="18"/>
                <w:szCs w:val="18"/>
              </w:rPr>
              <w:t>；采样管线不允许存在松脱或存在凹凸位等</w:t>
            </w:r>
            <w:r>
              <w:rPr>
                <w:rFonts w:hint="eastAsia" w:ascii="Times New Roman" w:hAnsi="Times New Roman" w:eastAsia="宋体" w:cs="Times New Roman"/>
                <w:color w:val="000000"/>
                <w:kern w:val="0"/>
                <w:sz w:val="18"/>
                <w:szCs w:val="18"/>
              </w:rPr>
              <w:t>现象</w:t>
            </w:r>
            <w:r>
              <w:rPr>
                <w:rFonts w:ascii="Times New Roman" w:hAnsi="Times New Roman" w:eastAsia="宋体" w:cs="Times New Roman"/>
                <w:color w:val="000000"/>
                <w:kern w:val="0"/>
                <w:sz w:val="18"/>
                <w:szCs w:val="18"/>
              </w:rPr>
              <w:t>。</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1111" w:type="dxa"/>
            <w:vMerge w:val="continue"/>
            <w:tcBorders>
              <w:left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⑸</w:t>
            </w:r>
            <w:r>
              <w:rPr>
                <w:rFonts w:ascii="Times New Roman" w:hAnsi="Times New Roman" w:eastAsia="宋体" w:cs="Times New Roman"/>
                <w:color w:val="000000"/>
                <w:kern w:val="0"/>
                <w:sz w:val="18"/>
                <w:szCs w:val="18"/>
              </w:rPr>
              <w:t>检查反吹系统</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反吹压缩空气压力在0.4-0.6MPa</w:t>
            </w:r>
            <w:r>
              <w:rPr>
                <w:rFonts w:hint="eastAsia" w:ascii="Times New Roman" w:hAnsi="Times New Roman" w:eastAsia="宋体" w:cs="Times New Roman"/>
                <w:color w:val="000000"/>
                <w:kern w:val="0"/>
                <w:sz w:val="18"/>
                <w:szCs w:val="18"/>
              </w:rPr>
              <w:t>内</w:t>
            </w:r>
            <w:r>
              <w:rPr>
                <w:rFonts w:ascii="Times New Roman" w:hAnsi="Times New Roman" w:eastAsia="宋体" w:cs="Times New Roman"/>
                <w:color w:val="000000"/>
                <w:kern w:val="0"/>
                <w:sz w:val="18"/>
                <w:szCs w:val="18"/>
              </w:rPr>
              <w:t>；检查压缩空气管线不允许存在松脱、漏气等</w:t>
            </w:r>
            <w:r>
              <w:rPr>
                <w:rFonts w:hint="eastAsia" w:ascii="Times New Roman" w:hAnsi="Times New Roman" w:eastAsia="宋体" w:cs="Times New Roman"/>
                <w:color w:val="000000"/>
                <w:kern w:val="0"/>
                <w:sz w:val="18"/>
                <w:szCs w:val="18"/>
              </w:rPr>
              <w:t>现象</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定期</w:t>
            </w:r>
            <w:r>
              <w:rPr>
                <w:rFonts w:ascii="Times New Roman" w:hAnsi="Times New Roman" w:eastAsia="宋体" w:cs="Times New Roman"/>
                <w:color w:val="000000"/>
                <w:kern w:val="0"/>
                <w:sz w:val="18"/>
                <w:szCs w:val="18"/>
              </w:rPr>
              <w:t>清理气水分离器内的水</w:t>
            </w:r>
            <w:r>
              <w:rPr>
                <w:rFonts w:hint="eastAsia" w:ascii="Times New Roman" w:hAnsi="Times New Roman" w:eastAsia="宋体" w:cs="Times New Roman"/>
                <w:color w:val="000000"/>
                <w:kern w:val="0"/>
                <w:sz w:val="18"/>
                <w:szCs w:val="18"/>
              </w:rPr>
              <w:t>和杂质。</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111" w:type="dxa"/>
            <w:vMerge w:val="continue"/>
            <w:tcBorders>
              <w:left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⑹</w:t>
            </w:r>
            <w:r>
              <w:rPr>
                <w:rFonts w:ascii="Times New Roman" w:hAnsi="Times New Roman" w:eastAsia="宋体" w:cs="Times New Roman"/>
                <w:color w:val="000000"/>
                <w:kern w:val="0"/>
                <w:sz w:val="18"/>
                <w:szCs w:val="18"/>
              </w:rPr>
              <w:t>检查稀释单元</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采用稀释</w:t>
            </w:r>
            <w:r>
              <w:rPr>
                <w:rFonts w:ascii="Times New Roman" w:hAnsi="Times New Roman" w:eastAsia="宋体" w:cs="Times New Roman"/>
                <w:color w:val="000000"/>
                <w:kern w:val="0"/>
                <w:sz w:val="18"/>
                <w:szCs w:val="18"/>
              </w:rPr>
              <w:t>抽取</w:t>
            </w:r>
            <w:r>
              <w:rPr>
                <w:rFonts w:hint="eastAsia" w:ascii="Times New Roman" w:hAnsi="Times New Roman" w:eastAsia="宋体" w:cs="Times New Roman"/>
                <w:color w:val="000000"/>
                <w:kern w:val="0"/>
                <w:sz w:val="18"/>
                <w:szCs w:val="18"/>
              </w:rPr>
              <w:t>法</w:t>
            </w:r>
            <w:r>
              <w:rPr>
                <w:rFonts w:ascii="Times New Roman" w:hAnsi="Times New Roman" w:eastAsia="宋体" w:cs="Times New Roman"/>
                <w:color w:val="000000"/>
                <w:kern w:val="0"/>
                <w:sz w:val="18"/>
                <w:szCs w:val="18"/>
              </w:rPr>
              <w:t>测量的，稀释单元工作正常</w:t>
            </w: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稀释比恒定，其数值与申报登记一致，达到净化要求。</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11" w:type="dxa"/>
            <w:vMerge w:val="continue"/>
            <w:tcBorders>
              <w:left w:val="single" w:color="auto" w:sz="4" w:space="0"/>
              <w:bottom w:val="single" w:color="auto" w:sz="4" w:space="0"/>
              <w:right w:val="single" w:color="auto" w:sz="4" w:space="0"/>
            </w:tcBorders>
            <w:noWrap w:val="0"/>
            <w:vAlign w:val="center"/>
          </w:tcPr>
          <w:p>
            <w:pPr>
              <w:pStyle w:val="4"/>
              <w:adjustRightInd w:val="0"/>
              <w:snapToGrid w:val="0"/>
              <w:jc w:val="center"/>
              <w:rPr>
                <w:rFonts w:ascii="Times New Roman" w:hAnsi="Times New Roman" w:eastAsia="宋体" w:cs="Times New Roman"/>
                <w:color w:val="000000"/>
                <w:kern w:val="0"/>
                <w:sz w:val="18"/>
                <w:szCs w:val="18"/>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⑺</w:t>
            </w:r>
            <w:r>
              <w:rPr>
                <w:rFonts w:ascii="Times New Roman" w:hAnsi="Times New Roman" w:eastAsia="宋体" w:cs="Times New Roman"/>
                <w:color w:val="000000"/>
                <w:kern w:val="0"/>
                <w:sz w:val="18"/>
                <w:szCs w:val="18"/>
              </w:rPr>
              <w:t>检查冷凝器</w:t>
            </w:r>
          </w:p>
        </w:tc>
        <w:tc>
          <w:tcPr>
            <w:tcW w:w="4231"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冷凝器温度不大于5</w:t>
            </w:r>
            <w:r>
              <w:rPr>
                <w:rFonts w:ascii="Times New Roman" w:hAnsi="宋体" w:eastAsia="宋体" w:cs="Times New Roman"/>
                <w:color w:val="000000"/>
                <w:kern w:val="0"/>
                <w:sz w:val="18"/>
                <w:szCs w:val="18"/>
              </w:rPr>
              <w:t>℃</w:t>
            </w:r>
            <w:r>
              <w:rPr>
                <w:rFonts w:ascii="Times New Roman" w:hAnsi="Times New Roman" w:eastAsia="宋体" w:cs="Times New Roman"/>
                <w:color w:val="000000"/>
                <w:kern w:val="0"/>
                <w:sz w:val="18"/>
                <w:szCs w:val="18"/>
              </w:rPr>
              <w:t>；冷凝器冷凝水</w:t>
            </w:r>
            <w:r>
              <w:rPr>
                <w:rFonts w:hint="eastAsia" w:ascii="Times New Roman" w:hAnsi="Times New Roman" w:eastAsia="宋体" w:cs="Times New Roman"/>
                <w:color w:val="000000"/>
                <w:kern w:val="0"/>
                <w:sz w:val="18"/>
                <w:szCs w:val="18"/>
              </w:rPr>
              <w:t>能</w:t>
            </w:r>
            <w:r>
              <w:rPr>
                <w:rFonts w:ascii="Times New Roman" w:hAnsi="Times New Roman" w:eastAsia="宋体" w:cs="Times New Roman"/>
                <w:color w:val="000000"/>
                <w:kern w:val="0"/>
                <w:sz w:val="18"/>
                <w:szCs w:val="18"/>
              </w:rPr>
              <w:t>正常排出。</w:t>
            </w:r>
          </w:p>
        </w:tc>
        <w:tc>
          <w:tcPr>
            <w:tcW w:w="1889" w:type="dxa"/>
            <w:tcBorders>
              <w:top w:val="single" w:color="auto" w:sz="4" w:space="0"/>
              <w:left w:val="single" w:color="auto" w:sz="4" w:space="0"/>
              <w:bottom w:val="single" w:color="auto" w:sz="4" w:space="0"/>
              <w:right w:val="single" w:color="auto" w:sz="4" w:space="0"/>
            </w:tcBorders>
            <w:noWrap w:val="0"/>
            <w:vAlign w:val="center"/>
          </w:tcPr>
          <w:p>
            <w:pPr>
              <w:pStyle w:val="4"/>
              <w:adjustRightInd w:val="0"/>
              <w:snapToGrid w:val="0"/>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每7天至少检查1次</w:t>
            </w:r>
          </w:p>
        </w:tc>
      </w:tr>
    </w:tbl>
    <w:p>
      <w:pPr>
        <w:widowControl w:val="0"/>
        <w:numPr>
          <w:ilvl w:val="0"/>
          <w:numId w:val="0"/>
        </w:numPr>
        <w:kinsoku/>
        <w:autoSpaceDE/>
        <w:autoSpaceDN/>
        <w:adjustRightInd/>
        <w:snapToGrid/>
        <w:jc w:val="center"/>
        <w:textAlignment w:val="auto"/>
        <w:rPr>
          <w:rFonts w:hint="default" w:ascii="宋体" w:hAnsi="宋体" w:eastAsia="宋体" w:cs="宋体"/>
          <w:b w:val="0"/>
          <w:bCs w:val="0"/>
          <w:snapToGrid/>
          <w:color w:val="0F1115"/>
          <w:sz w:val="28"/>
          <w:szCs w:val="28"/>
          <w:lang w:val="en-US" w:eastAsia="zh-CN"/>
        </w:rPr>
      </w:pPr>
    </w:p>
    <w:p>
      <w:pPr>
        <w:pStyle w:val="4"/>
        <w:spacing w:line="360" w:lineRule="auto"/>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表A2 水质自动</w:t>
      </w:r>
      <w:r>
        <w:rPr>
          <w:rFonts w:hint="eastAsia" w:ascii="Times New Roman" w:hAnsi="Times New Roman" w:eastAsia="宋体" w:cs="Times New Roman"/>
          <w:color w:val="000000"/>
          <w:szCs w:val="21"/>
        </w:rPr>
        <w:t>监测</w:t>
      </w:r>
      <w:r>
        <w:rPr>
          <w:rFonts w:ascii="Times New Roman" w:hAnsi="Times New Roman" w:eastAsia="宋体" w:cs="Times New Roman"/>
          <w:color w:val="000000"/>
          <w:szCs w:val="21"/>
        </w:rPr>
        <w:t>仪服务内容及规范</w:t>
      </w:r>
    </w:p>
    <w:tbl>
      <w:tblPr>
        <w:tblStyle w:val="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62"/>
        <w:gridCol w:w="2410"/>
        <w:gridCol w:w="4050"/>
        <w:gridCol w:w="185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6" w:hRule="atLeast"/>
          <w:jc w:val="center"/>
        </w:trPr>
        <w:tc>
          <w:tcPr>
            <w:tcW w:w="1262" w:type="dxa"/>
            <w:shd w:val="clear" w:color="auto" w:fill="D9D9D9"/>
            <w:noWrap w:val="0"/>
            <w:vAlign w:val="center"/>
          </w:tcPr>
          <w:p>
            <w:pPr>
              <w:pStyle w:val="4"/>
              <w:snapToGrid w:val="0"/>
              <w:contextualSpacing/>
              <w:jc w:val="center"/>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服务对象</w:t>
            </w:r>
          </w:p>
        </w:tc>
        <w:tc>
          <w:tcPr>
            <w:tcW w:w="2410" w:type="dxa"/>
            <w:shd w:val="clear" w:color="auto" w:fill="D9D9D9"/>
            <w:noWrap w:val="0"/>
            <w:vAlign w:val="center"/>
          </w:tcPr>
          <w:p>
            <w:pPr>
              <w:pStyle w:val="4"/>
              <w:snapToGrid w:val="0"/>
              <w:contextualSpacing/>
              <w:jc w:val="center"/>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服务内容</w:t>
            </w:r>
          </w:p>
        </w:tc>
        <w:tc>
          <w:tcPr>
            <w:tcW w:w="4050" w:type="dxa"/>
            <w:shd w:val="clear" w:color="auto" w:fill="D9D9D9"/>
            <w:noWrap w:val="0"/>
            <w:vAlign w:val="center"/>
          </w:tcPr>
          <w:p>
            <w:pPr>
              <w:pStyle w:val="4"/>
              <w:snapToGrid w:val="0"/>
              <w:contextualSpacing/>
              <w:jc w:val="center"/>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服务规范</w:t>
            </w:r>
          </w:p>
        </w:tc>
        <w:tc>
          <w:tcPr>
            <w:tcW w:w="1858" w:type="dxa"/>
            <w:shd w:val="clear" w:color="auto" w:fill="D9D9D9"/>
            <w:noWrap w:val="0"/>
            <w:vAlign w:val="center"/>
          </w:tcPr>
          <w:p>
            <w:pPr>
              <w:pStyle w:val="4"/>
              <w:snapToGrid w:val="0"/>
              <w:contextualSpacing/>
              <w:jc w:val="center"/>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服务频率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7" w:hRule="atLeast"/>
          <w:jc w:val="center"/>
        </w:trPr>
        <w:tc>
          <w:tcPr>
            <w:tcW w:w="1262" w:type="dxa"/>
            <w:vMerge w:val="restart"/>
            <w:noWrap w:val="0"/>
            <w:vAlign w:val="center"/>
          </w:tcPr>
          <w:p>
            <w:pPr>
              <w:pStyle w:val="4"/>
              <w:snapToGrid w:val="0"/>
              <w:contextualSpacing/>
              <w:jc w:val="center"/>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水质自动</w:t>
            </w:r>
            <w:r>
              <w:rPr>
                <w:rFonts w:hint="eastAsia" w:ascii="Times New Roman" w:hAnsi="宋体" w:eastAsia="宋体" w:cs="Times New Roman"/>
                <w:color w:val="000000"/>
                <w:kern w:val="0"/>
                <w:sz w:val="18"/>
                <w:szCs w:val="18"/>
              </w:rPr>
              <w:t>监测</w:t>
            </w:r>
            <w:r>
              <w:rPr>
                <w:rFonts w:ascii="Times New Roman" w:hAnsi="宋体" w:eastAsia="宋体" w:cs="Times New Roman"/>
                <w:color w:val="000000"/>
                <w:kern w:val="0"/>
                <w:sz w:val="18"/>
                <w:szCs w:val="18"/>
              </w:rPr>
              <w:t>仪</w:t>
            </w:r>
          </w:p>
        </w:tc>
        <w:tc>
          <w:tcPr>
            <w:tcW w:w="8318" w:type="dxa"/>
            <w:gridSpan w:val="3"/>
            <w:noWrap w:val="0"/>
            <w:vAlign w:val="center"/>
          </w:tcPr>
          <w:p>
            <w:pPr>
              <w:pStyle w:val="4"/>
              <w:snapToGrid w:val="0"/>
              <w:contextualSpacing/>
              <w:jc w:val="center"/>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日常运维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4"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⑴检查仪器的系统时间</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与北京时间同步，必要时进行校准。</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宋体" w:eastAsia="宋体" w:cs="Times New Roman"/>
                <w:color w:val="000000"/>
                <w:kern w:val="0"/>
                <w:sz w:val="18"/>
                <w:szCs w:val="18"/>
              </w:rPr>
            </w:pPr>
            <w:r>
              <w:rPr>
                <w:rFonts w:ascii="Times New Roman" w:hAnsi="宋体" w:eastAsia="宋体" w:cs="Times New Roman"/>
                <w:color w:val="000000"/>
                <w:kern w:val="0"/>
                <w:sz w:val="18"/>
                <w:szCs w:val="18"/>
              </w:rPr>
              <w:t>⑵检查历史数据（曲线、数值等）</w:t>
            </w:r>
          </w:p>
        </w:tc>
        <w:tc>
          <w:tcPr>
            <w:tcW w:w="4050" w:type="dxa"/>
            <w:noWrap w:val="0"/>
            <w:vAlign w:val="center"/>
          </w:tcPr>
          <w:p>
            <w:pPr>
              <w:pStyle w:val="4"/>
              <w:snapToGrid w:val="0"/>
              <w:contextualSpacing/>
              <w:rPr>
                <w:rFonts w:ascii="Times New Roman" w:hAnsi="宋体" w:eastAsia="宋体" w:cs="Times New Roman"/>
                <w:color w:val="000000"/>
                <w:kern w:val="0"/>
                <w:sz w:val="18"/>
                <w:szCs w:val="18"/>
              </w:rPr>
            </w:pPr>
            <w:r>
              <w:rPr>
                <w:rFonts w:hint="eastAsia" w:ascii="Times New Roman" w:hAnsi="宋体" w:eastAsia="宋体" w:cs="Times New Roman"/>
                <w:color w:val="000000"/>
                <w:kern w:val="0"/>
                <w:sz w:val="18"/>
                <w:szCs w:val="18"/>
              </w:rPr>
              <w:t>检查</w:t>
            </w:r>
            <w:r>
              <w:rPr>
                <w:rFonts w:ascii="Times New Roman" w:hAnsi="宋体" w:eastAsia="宋体" w:cs="Times New Roman"/>
                <w:color w:val="000000"/>
                <w:kern w:val="0"/>
                <w:sz w:val="18"/>
                <w:szCs w:val="18"/>
              </w:rPr>
              <w:t>历史数据和</w:t>
            </w:r>
            <w:r>
              <w:rPr>
                <w:rFonts w:hint="eastAsia" w:ascii="Times New Roman" w:hAnsi="宋体" w:eastAsia="宋体" w:cs="Times New Roman"/>
                <w:color w:val="000000"/>
                <w:kern w:val="0"/>
                <w:sz w:val="18"/>
                <w:szCs w:val="18"/>
              </w:rPr>
              <w:t>曲线</w:t>
            </w:r>
            <w:r>
              <w:rPr>
                <w:rFonts w:ascii="Times New Roman" w:hAnsi="宋体" w:eastAsia="宋体" w:cs="Times New Roman"/>
                <w:color w:val="000000"/>
                <w:kern w:val="0"/>
                <w:sz w:val="18"/>
                <w:szCs w:val="18"/>
              </w:rPr>
              <w:t>，</w:t>
            </w:r>
            <w:r>
              <w:rPr>
                <w:rFonts w:hint="eastAsia" w:ascii="Times New Roman" w:hAnsi="宋体" w:eastAsia="宋体" w:cs="Times New Roman"/>
                <w:color w:val="000000"/>
                <w:kern w:val="0"/>
                <w:sz w:val="18"/>
                <w:szCs w:val="18"/>
              </w:rPr>
              <w:t>异常数据需记录在日常运维表单中并说明原因。</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2"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⑶检查仪器参数设置（测量间隔、校正间隔、校正因子和修正系数等）</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参数设置符合规定并与申报登记一致。</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3"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⑷检查水样采集单元</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取样管路位置无异动，管路应畅通；进水阀、排水阀等均可正常打开。</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7"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⑸检查标准溶液和试剂</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标准溶液和试剂</w:t>
            </w:r>
            <w:r>
              <w:rPr>
                <w:rFonts w:hint="eastAsia" w:ascii="Times New Roman" w:hAnsi="宋体" w:eastAsia="宋体" w:cs="Times New Roman"/>
                <w:color w:val="000000"/>
                <w:kern w:val="0"/>
                <w:sz w:val="18"/>
                <w:szCs w:val="18"/>
              </w:rPr>
              <w:t>余</w:t>
            </w:r>
            <w:r>
              <w:rPr>
                <w:rFonts w:ascii="Times New Roman" w:hAnsi="宋体" w:eastAsia="宋体" w:cs="Times New Roman"/>
                <w:color w:val="000000"/>
                <w:kern w:val="0"/>
                <w:sz w:val="18"/>
                <w:szCs w:val="18"/>
              </w:rPr>
              <w:t>量能保证运行一周以上，且在申报登记的使用有效期内。</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⑹检查废液</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废液桶无渗漏，</w:t>
            </w:r>
            <w:r>
              <w:rPr>
                <w:rFonts w:hint="eastAsia" w:ascii="Times New Roman" w:hAnsi="宋体" w:eastAsia="宋体" w:cs="Times New Roman"/>
                <w:color w:val="000000"/>
                <w:kern w:val="0"/>
                <w:sz w:val="18"/>
                <w:szCs w:val="18"/>
              </w:rPr>
              <w:t>剩余</w:t>
            </w:r>
            <w:r>
              <w:rPr>
                <w:rFonts w:ascii="Times New Roman" w:hAnsi="宋体" w:eastAsia="宋体" w:cs="Times New Roman"/>
                <w:color w:val="000000"/>
                <w:kern w:val="0"/>
                <w:sz w:val="18"/>
                <w:szCs w:val="18"/>
              </w:rPr>
              <w:t>容量能保证运行一周以上。</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4"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⑺检查内部试管、定量管</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保证试管、定量管干净，必要时进行清洗。</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6"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⑻检查蠕动泵管、蠕动泵运行是否正常</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泵管正常，润滑油不足时及时添加；蠕动泵运转正常。</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19"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⑼检查消解单元功能；检查消解过程中消解池的消解温度、消解时间等各项</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消解单元应能实现快速加热，并保持恒温消解控制；消解温度符合产品说明书要求，或在申报登记的范围；采用密闭消解方式测量</w:t>
            </w:r>
            <w:r>
              <w:rPr>
                <w:rFonts w:ascii="Times New Roman" w:hAnsi="Times New Roman" w:eastAsia="宋体" w:cs="Times New Roman"/>
                <w:color w:val="000000"/>
                <w:kern w:val="0"/>
                <w:sz w:val="18"/>
                <w:szCs w:val="18"/>
              </w:rPr>
              <w:t>COD</w:t>
            </w:r>
            <w:r>
              <w:rPr>
                <w:rFonts w:ascii="Times New Roman" w:hAnsi="Times New Roman" w:eastAsia="宋体" w:cs="Times New Roman"/>
                <w:color w:val="000000"/>
                <w:kern w:val="0"/>
                <w:sz w:val="18"/>
                <w:szCs w:val="18"/>
                <w:vertAlign w:val="subscript"/>
              </w:rPr>
              <w:t>cr</w:t>
            </w:r>
            <w:r>
              <w:rPr>
                <w:rFonts w:ascii="Times New Roman" w:hAnsi="宋体" w:eastAsia="宋体" w:cs="Times New Roman"/>
                <w:color w:val="000000"/>
                <w:kern w:val="0"/>
                <w:sz w:val="18"/>
                <w:szCs w:val="18"/>
              </w:rPr>
              <w:t>的消解时间不小于</w:t>
            </w:r>
            <w:r>
              <w:rPr>
                <w:rFonts w:ascii="Times New Roman" w:hAnsi="Times New Roman" w:eastAsia="宋体" w:cs="Times New Roman"/>
                <w:color w:val="000000"/>
                <w:kern w:val="0"/>
                <w:sz w:val="18"/>
                <w:szCs w:val="18"/>
              </w:rPr>
              <w:t>15min</w:t>
            </w:r>
            <w:r>
              <w:rPr>
                <w:rFonts w:ascii="Times New Roman" w:hAnsi="宋体" w:eastAsia="宋体" w:cs="Times New Roman"/>
                <w:color w:val="000000"/>
                <w:kern w:val="0"/>
                <w:sz w:val="18"/>
                <w:szCs w:val="18"/>
              </w:rPr>
              <w:t>。</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每月至少检查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48"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⑽检查操作单元，仪器运行情况</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仪器无故障显示或报警信号；仪器启动后，能够正常运转，添加试剂和水样，并排出废液；内部样品管路和试剂管路内液体正常流动；仪器内部连接线路无松动脱落现象，连接管路无渗液、滴漏现象。</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每月至少检查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52"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⑾检查测量单元</w:t>
            </w:r>
            <w:r>
              <w:rPr>
                <w:rFonts w:ascii="Times New Roman" w:hAnsi="Times New Roman" w:eastAsia="宋体" w:cs="Times New Roman"/>
                <w:color w:val="000000"/>
                <w:kern w:val="0"/>
                <w:sz w:val="18"/>
                <w:szCs w:val="18"/>
              </w:rPr>
              <w:t>(</w:t>
            </w:r>
            <w:r>
              <w:rPr>
                <w:rFonts w:ascii="Times New Roman" w:hAnsi="宋体" w:eastAsia="宋体" w:cs="Times New Roman"/>
                <w:color w:val="000000"/>
                <w:kern w:val="0"/>
                <w:sz w:val="18"/>
                <w:szCs w:val="18"/>
              </w:rPr>
              <w:t>分光光度法</w:t>
            </w:r>
            <w:r>
              <w:rPr>
                <w:rFonts w:ascii="Times New Roman" w:hAnsi="Times New Roman" w:eastAsia="宋体" w:cs="Times New Roman"/>
                <w:color w:val="000000"/>
                <w:kern w:val="0"/>
                <w:sz w:val="18"/>
                <w:szCs w:val="18"/>
              </w:rPr>
              <w:t>/</w:t>
            </w:r>
            <w:r>
              <w:rPr>
                <w:rFonts w:ascii="Times New Roman" w:hAnsi="宋体" w:eastAsia="宋体" w:cs="Times New Roman"/>
                <w:color w:val="000000"/>
                <w:kern w:val="0"/>
                <w:sz w:val="18"/>
                <w:szCs w:val="18"/>
              </w:rPr>
              <w:t>电极法</w:t>
            </w:r>
            <w:r>
              <w:rPr>
                <w:rFonts w:ascii="Times New Roman" w:hAnsi="Times New Roman" w:eastAsia="宋体" w:cs="Times New Roman"/>
                <w:color w:val="000000"/>
                <w:kern w:val="0"/>
                <w:sz w:val="18"/>
                <w:szCs w:val="18"/>
              </w:rPr>
              <w:t>)</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采用分光光度法</w:t>
            </w:r>
            <w:r>
              <w:rPr>
                <w:rFonts w:hint="eastAsia" w:ascii="Times New Roman" w:hAnsi="宋体" w:eastAsia="宋体" w:cs="Times New Roman"/>
                <w:color w:val="000000"/>
                <w:kern w:val="0"/>
                <w:sz w:val="18"/>
                <w:szCs w:val="18"/>
              </w:rPr>
              <w:t>测量</w:t>
            </w:r>
            <w:r>
              <w:rPr>
                <w:rFonts w:ascii="Times New Roman" w:hAnsi="宋体" w:eastAsia="宋体" w:cs="Times New Roman"/>
                <w:color w:val="000000"/>
                <w:kern w:val="0"/>
                <w:sz w:val="18"/>
                <w:szCs w:val="18"/>
              </w:rPr>
              <w:t>的，比色池表面无遮挡光路的污物；采用电极法测</w:t>
            </w:r>
            <w:r>
              <w:rPr>
                <w:rFonts w:hint="eastAsia" w:ascii="Times New Roman" w:hAnsi="宋体" w:eastAsia="宋体" w:cs="Times New Roman"/>
                <w:color w:val="000000"/>
                <w:kern w:val="0"/>
                <w:sz w:val="18"/>
                <w:szCs w:val="18"/>
              </w:rPr>
              <w:t>量</w:t>
            </w:r>
            <w:r>
              <w:rPr>
                <w:rFonts w:ascii="Times New Roman" w:hAnsi="宋体" w:eastAsia="宋体" w:cs="Times New Roman"/>
                <w:color w:val="000000"/>
                <w:kern w:val="0"/>
                <w:sz w:val="18"/>
                <w:szCs w:val="18"/>
              </w:rPr>
              <w:t>的，电极表面无污物，且能够自动清洗电极。检查电极填充液和膜片，必要时进行添加和更换，对电极探头进行清洗，必要时进行更换。</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每月至少检查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⑿检查水样导管、排水导管（排液管和排液软管）、取排样泵</w:t>
            </w:r>
            <w:r>
              <w:rPr>
                <w:rFonts w:ascii="Times New Roman" w:hAnsi="Times New Roman" w:eastAsia="宋体" w:cs="Times New Roman"/>
                <w:color w:val="000000"/>
                <w:kern w:val="0"/>
                <w:sz w:val="18"/>
                <w:szCs w:val="18"/>
              </w:rPr>
              <w:t>/</w:t>
            </w:r>
            <w:r>
              <w:rPr>
                <w:rFonts w:ascii="Times New Roman" w:hAnsi="宋体" w:eastAsia="宋体" w:cs="Times New Roman"/>
                <w:color w:val="000000"/>
                <w:kern w:val="0"/>
                <w:sz w:val="18"/>
                <w:szCs w:val="18"/>
              </w:rPr>
              <w:t>注射活塞、阀件和密封圈</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管路通畅，取排样泵</w:t>
            </w:r>
            <w:r>
              <w:rPr>
                <w:rFonts w:ascii="Times New Roman" w:hAnsi="Times New Roman" w:eastAsia="宋体" w:cs="Times New Roman"/>
                <w:color w:val="000000"/>
                <w:kern w:val="0"/>
                <w:sz w:val="18"/>
                <w:szCs w:val="18"/>
              </w:rPr>
              <w:t>/</w:t>
            </w:r>
            <w:r>
              <w:rPr>
                <w:rFonts w:ascii="Times New Roman" w:hAnsi="宋体" w:eastAsia="宋体" w:cs="Times New Roman"/>
                <w:color w:val="000000"/>
                <w:kern w:val="0"/>
                <w:sz w:val="18"/>
                <w:szCs w:val="18"/>
              </w:rPr>
              <w:t>注射活塞、阀件和密封圈密封性正常，必要时进行更换。</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3</w:t>
            </w:r>
            <w:r>
              <w:rPr>
                <w:rFonts w:ascii="Times New Roman" w:hAnsi="宋体" w:eastAsia="宋体" w:cs="Times New Roman"/>
                <w:color w:val="000000"/>
                <w:kern w:val="0"/>
                <w:sz w:val="18"/>
                <w:szCs w:val="18"/>
              </w:rPr>
              <w:t>个月至少检查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8"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⒀采用相关系数法测量的自动</w:t>
            </w:r>
            <w:r>
              <w:rPr>
                <w:rFonts w:hint="eastAsia" w:ascii="Times New Roman" w:hAnsi="宋体" w:eastAsia="宋体" w:cs="Times New Roman"/>
                <w:color w:val="000000"/>
                <w:kern w:val="0"/>
                <w:sz w:val="18"/>
                <w:szCs w:val="18"/>
              </w:rPr>
              <w:t>监测</w:t>
            </w:r>
            <w:r>
              <w:rPr>
                <w:rFonts w:ascii="Times New Roman" w:hAnsi="宋体" w:eastAsia="宋体" w:cs="Times New Roman"/>
                <w:color w:val="000000"/>
                <w:kern w:val="0"/>
                <w:sz w:val="18"/>
                <w:szCs w:val="18"/>
              </w:rPr>
              <w:t>仪检查转换系数与曲线</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转换系数与曲线适用于现场仪器，必要时进行校准，</w:t>
            </w:r>
            <w:r>
              <w:rPr>
                <w:rFonts w:hint="eastAsia" w:ascii="Times New Roman" w:hAnsi="宋体" w:eastAsia="宋体" w:cs="Times New Roman"/>
                <w:color w:val="000000"/>
                <w:kern w:val="0"/>
                <w:sz w:val="18"/>
                <w:szCs w:val="18"/>
              </w:rPr>
              <w:t>并</w:t>
            </w:r>
            <w:r>
              <w:rPr>
                <w:rFonts w:ascii="Times New Roman" w:hAnsi="宋体" w:eastAsia="宋体" w:cs="Times New Roman"/>
                <w:color w:val="000000"/>
                <w:kern w:val="0"/>
                <w:sz w:val="18"/>
                <w:szCs w:val="18"/>
              </w:rPr>
              <w:t>与申报登记一致。</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每月至少检查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15"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宋体" w:hAnsi="宋体" w:eastAsia="宋体" w:cs="Times New Roman"/>
                <w:color w:val="000000"/>
                <w:kern w:val="0"/>
                <w:sz w:val="18"/>
                <w:szCs w:val="18"/>
              </w:rPr>
              <w:t>⒁</w:t>
            </w:r>
            <w:r>
              <w:rPr>
                <w:rFonts w:ascii="Times New Roman" w:hAnsi="宋体" w:eastAsia="宋体" w:cs="Times New Roman"/>
                <w:color w:val="000000"/>
                <w:kern w:val="0"/>
                <w:sz w:val="18"/>
                <w:szCs w:val="18"/>
              </w:rPr>
              <w:t>超声波流量计</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液位测量应准确。被测量介质表面无泡沫、杂物。测量液位后按照申报登记的参数折算为流量，该流量与仪器显示流量的差值不超过仪器说明书流量精度的要求。</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每月至少检查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0" w:hRule="atLeast"/>
          <w:jc w:val="center"/>
        </w:trPr>
        <w:tc>
          <w:tcPr>
            <w:tcW w:w="1262" w:type="dxa"/>
            <w:vMerge w:val="continue"/>
            <w:noWrap w:val="0"/>
            <w:vAlign w:val="center"/>
          </w:tcPr>
          <w:p>
            <w:pPr>
              <w:pStyle w:val="4"/>
              <w:snapToGrid w:val="0"/>
              <w:contextualSpacing/>
              <w:jc w:val="center"/>
              <w:rPr>
                <w:rFonts w:ascii="Times New Roman" w:hAnsi="Times New Roman" w:eastAsia="宋体" w:cs="Times New Roman"/>
                <w:color w:val="000000"/>
                <w:kern w:val="0"/>
                <w:sz w:val="18"/>
                <w:szCs w:val="18"/>
              </w:rPr>
            </w:pPr>
          </w:p>
        </w:tc>
        <w:tc>
          <w:tcPr>
            <w:tcW w:w="241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宋体" w:hAnsi="宋体" w:eastAsia="宋体" w:cs="Times New Roman"/>
                <w:color w:val="000000"/>
                <w:kern w:val="0"/>
                <w:sz w:val="18"/>
                <w:szCs w:val="18"/>
              </w:rPr>
              <w:t>⒂</w:t>
            </w:r>
            <w:r>
              <w:rPr>
                <w:rFonts w:ascii="Times New Roman" w:hAnsi="Times New Roman" w:eastAsia="宋体" w:cs="Times New Roman"/>
                <w:color w:val="000000"/>
                <w:kern w:val="0"/>
                <w:sz w:val="18"/>
                <w:szCs w:val="18"/>
              </w:rPr>
              <w:t>pH</w:t>
            </w:r>
            <w:r>
              <w:rPr>
                <w:rFonts w:ascii="Times New Roman" w:hAnsi="宋体" w:eastAsia="宋体" w:cs="Times New Roman"/>
                <w:color w:val="000000"/>
                <w:kern w:val="0"/>
                <w:sz w:val="18"/>
                <w:szCs w:val="18"/>
              </w:rPr>
              <w:t>自动</w:t>
            </w:r>
            <w:r>
              <w:rPr>
                <w:rFonts w:hint="eastAsia" w:ascii="Times New Roman" w:hAnsi="宋体" w:eastAsia="宋体" w:cs="Times New Roman"/>
                <w:color w:val="000000"/>
                <w:kern w:val="0"/>
                <w:sz w:val="18"/>
                <w:szCs w:val="18"/>
              </w:rPr>
              <w:t>监测</w:t>
            </w:r>
            <w:r>
              <w:rPr>
                <w:rFonts w:ascii="Times New Roman" w:hAnsi="宋体" w:eastAsia="宋体" w:cs="Times New Roman"/>
                <w:color w:val="000000"/>
                <w:kern w:val="0"/>
                <w:sz w:val="18"/>
                <w:szCs w:val="18"/>
              </w:rPr>
              <w:t>仪</w:t>
            </w:r>
          </w:p>
        </w:tc>
        <w:tc>
          <w:tcPr>
            <w:tcW w:w="4050"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宋体" w:hAnsi="宋体" w:eastAsia="宋体" w:cs="Times New Roman"/>
                <w:color w:val="000000"/>
                <w:kern w:val="0"/>
                <w:sz w:val="18"/>
                <w:szCs w:val="18"/>
              </w:rPr>
              <w:t>⒂</w:t>
            </w:r>
            <w:r>
              <w:rPr>
                <w:rFonts w:ascii="Times New Roman" w:hAnsi="宋体" w:eastAsia="宋体" w:cs="Times New Roman"/>
                <w:color w:val="000000"/>
                <w:kern w:val="0"/>
                <w:sz w:val="18"/>
                <w:szCs w:val="18"/>
              </w:rPr>
              <w:t>用酸液清洗一次电极，</w:t>
            </w:r>
            <w:r>
              <w:rPr>
                <w:rFonts w:ascii="Times New Roman" w:hAnsi="Times New Roman" w:eastAsia="宋体" w:cs="Times New Roman"/>
                <w:color w:val="000000"/>
                <w:kern w:val="0"/>
                <w:sz w:val="18"/>
                <w:szCs w:val="18"/>
              </w:rPr>
              <w:t>pH</w:t>
            </w:r>
            <w:r>
              <w:rPr>
                <w:rFonts w:ascii="Times New Roman" w:hAnsi="宋体" w:eastAsia="宋体" w:cs="Times New Roman"/>
                <w:color w:val="000000"/>
                <w:kern w:val="0"/>
                <w:sz w:val="18"/>
                <w:szCs w:val="18"/>
              </w:rPr>
              <w:t>电极无</w:t>
            </w:r>
            <w:r>
              <w:rPr>
                <w:rFonts w:hint="eastAsia" w:ascii="Times New Roman" w:hAnsi="宋体" w:eastAsia="宋体" w:cs="Times New Roman"/>
                <w:color w:val="000000"/>
                <w:kern w:val="0"/>
                <w:sz w:val="18"/>
                <w:szCs w:val="18"/>
              </w:rPr>
              <w:t>钝</w:t>
            </w:r>
            <w:r>
              <w:rPr>
                <w:rFonts w:ascii="Times New Roman" w:hAnsi="宋体" w:eastAsia="宋体" w:cs="Times New Roman"/>
                <w:color w:val="000000"/>
                <w:kern w:val="0"/>
                <w:sz w:val="18"/>
                <w:szCs w:val="18"/>
              </w:rPr>
              <w:t>化，必要时进行更换。</w:t>
            </w:r>
          </w:p>
        </w:tc>
        <w:tc>
          <w:tcPr>
            <w:tcW w:w="1858" w:type="dxa"/>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每月至少检查</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1262" w:type="dxa"/>
            <w:vMerge w:val="continue"/>
            <w:noWrap w:val="0"/>
            <w:vAlign w:val="center"/>
          </w:tcPr>
          <w:p>
            <w:pPr>
              <w:pStyle w:val="4"/>
              <w:snapToGrid w:val="0"/>
              <w:contextualSpacing/>
              <w:rPr>
                <w:rFonts w:ascii="Times New Roman" w:hAnsi="Times New Roman" w:eastAsia="宋体" w:cs="Times New Roman"/>
                <w:color w:val="000000"/>
                <w:kern w:val="0"/>
                <w:sz w:val="18"/>
                <w:szCs w:val="18"/>
              </w:rPr>
            </w:pPr>
          </w:p>
        </w:tc>
        <w:tc>
          <w:tcPr>
            <w:tcW w:w="8318" w:type="dxa"/>
            <w:gridSpan w:val="3"/>
            <w:tcBorders>
              <w:bottom w:val="single" w:color="auto" w:sz="8" w:space="0"/>
            </w:tcBorders>
            <w:noWrap w:val="0"/>
            <w:vAlign w:val="center"/>
          </w:tcPr>
          <w:p>
            <w:pPr>
              <w:pStyle w:val="4"/>
              <w:snapToGrid w:val="0"/>
              <w:spacing w:line="360" w:lineRule="auto"/>
              <w:contextualSpacing/>
              <w:jc w:val="center"/>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校准校验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91" w:hRule="atLeast"/>
          <w:jc w:val="center"/>
        </w:trPr>
        <w:tc>
          <w:tcPr>
            <w:tcW w:w="1262" w:type="dxa"/>
            <w:vMerge w:val="continue"/>
            <w:noWrap w:val="0"/>
            <w:vAlign w:val="center"/>
          </w:tcPr>
          <w:p>
            <w:pPr>
              <w:pStyle w:val="4"/>
              <w:snapToGrid w:val="0"/>
              <w:contextualSpacing/>
              <w:rPr>
                <w:rFonts w:ascii="Times New Roman" w:hAnsi="Times New Roman" w:eastAsia="宋体" w:cs="Times New Roman"/>
                <w:color w:val="000000"/>
                <w:kern w:val="0"/>
                <w:sz w:val="18"/>
                <w:szCs w:val="18"/>
              </w:rPr>
            </w:pPr>
          </w:p>
        </w:tc>
        <w:tc>
          <w:tcPr>
            <w:tcW w:w="2410" w:type="dxa"/>
            <w:tcBorders>
              <w:bottom w:val="single" w:color="auto" w:sz="8" w:space="0"/>
            </w:tcBorders>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⑴对</w:t>
            </w:r>
            <w:r>
              <w:rPr>
                <w:rFonts w:hint="eastAsia" w:ascii="Times New Roman" w:hAnsi="宋体" w:eastAsia="宋体" w:cs="Times New Roman"/>
                <w:color w:val="000000"/>
                <w:kern w:val="0"/>
                <w:sz w:val="18"/>
                <w:szCs w:val="18"/>
              </w:rPr>
              <w:t>自动</w:t>
            </w:r>
            <w:r>
              <w:rPr>
                <w:rFonts w:ascii="Times New Roman" w:hAnsi="宋体" w:eastAsia="宋体" w:cs="Times New Roman"/>
                <w:color w:val="000000"/>
                <w:kern w:val="0"/>
                <w:sz w:val="18"/>
                <w:szCs w:val="18"/>
              </w:rPr>
              <w:t>监测仪实际水样比对试验和质控样试验，进行一次现场校验</w:t>
            </w:r>
          </w:p>
        </w:tc>
        <w:tc>
          <w:tcPr>
            <w:tcW w:w="4050" w:type="dxa"/>
            <w:tcBorders>
              <w:bottom w:val="single" w:color="auto" w:sz="8" w:space="0"/>
            </w:tcBorders>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进行一次实际水样比对试验和质控样试验，现场校验，可自动校准或手工校准。</w:t>
            </w:r>
          </w:p>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实际水样比对试验结果应满足规定的性能指标要求，质控样测定应在规定的误差范围内，具体详见文件《污染源自动监测设备比对监测技术规定》（中国环境监测总站</w:t>
            </w:r>
            <w:r>
              <w:rPr>
                <w:rFonts w:ascii="Times New Roman" w:hAnsi="Times New Roman" w:eastAsia="宋体" w:cs="Times New Roman"/>
                <w:color w:val="000000"/>
                <w:kern w:val="0"/>
                <w:sz w:val="18"/>
                <w:szCs w:val="18"/>
              </w:rPr>
              <w:t>2010</w:t>
            </w:r>
            <w:r>
              <w:rPr>
                <w:rFonts w:ascii="Times New Roman" w:hAnsi="宋体" w:eastAsia="宋体" w:cs="Times New Roman"/>
                <w:color w:val="000000"/>
                <w:kern w:val="0"/>
                <w:sz w:val="18"/>
                <w:szCs w:val="18"/>
              </w:rPr>
              <w:t>年</w:t>
            </w:r>
            <w:r>
              <w:rPr>
                <w:rFonts w:ascii="Times New Roman" w:hAnsi="Times New Roman" w:eastAsia="宋体" w:cs="Times New Roman"/>
                <w:color w:val="000000"/>
                <w:kern w:val="0"/>
                <w:sz w:val="18"/>
                <w:szCs w:val="18"/>
              </w:rPr>
              <w:t>8</w:t>
            </w:r>
            <w:r>
              <w:rPr>
                <w:rFonts w:ascii="Times New Roman" w:hAnsi="宋体" w:eastAsia="宋体" w:cs="Times New Roman"/>
                <w:color w:val="000000"/>
                <w:kern w:val="0"/>
                <w:sz w:val="18"/>
                <w:szCs w:val="18"/>
              </w:rPr>
              <w:t>月）和重金属自动监测仪相关的技术要求、检测方法及规范。</w:t>
            </w:r>
          </w:p>
        </w:tc>
        <w:tc>
          <w:tcPr>
            <w:tcW w:w="1858" w:type="dxa"/>
            <w:tcBorders>
              <w:bottom w:val="single" w:color="auto" w:sz="8" w:space="0"/>
            </w:tcBorders>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30</w:t>
            </w:r>
            <w:r>
              <w:rPr>
                <w:rFonts w:ascii="Times New Roman" w:hAnsi="宋体" w:eastAsia="宋体" w:cs="Times New Roman"/>
                <w:color w:val="000000"/>
                <w:kern w:val="0"/>
                <w:sz w:val="18"/>
                <w:szCs w:val="18"/>
              </w:rPr>
              <w:t>日内至少进行</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93" w:hRule="atLeast"/>
          <w:jc w:val="center"/>
        </w:trPr>
        <w:tc>
          <w:tcPr>
            <w:tcW w:w="1262" w:type="dxa"/>
            <w:vMerge w:val="continue"/>
            <w:noWrap w:val="0"/>
            <w:vAlign w:val="center"/>
          </w:tcPr>
          <w:p>
            <w:pPr>
              <w:pStyle w:val="4"/>
              <w:snapToGrid w:val="0"/>
              <w:contextualSpacing/>
              <w:rPr>
                <w:rFonts w:ascii="Times New Roman" w:hAnsi="Times New Roman" w:eastAsia="宋体" w:cs="Times New Roman"/>
                <w:color w:val="000000"/>
                <w:kern w:val="0"/>
                <w:sz w:val="18"/>
                <w:szCs w:val="18"/>
              </w:rPr>
            </w:pPr>
          </w:p>
        </w:tc>
        <w:tc>
          <w:tcPr>
            <w:tcW w:w="2410" w:type="dxa"/>
            <w:tcBorders>
              <w:top w:val="single" w:color="auto" w:sz="8" w:space="0"/>
              <w:bottom w:val="single" w:color="auto" w:sz="8" w:space="0"/>
            </w:tcBorders>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⑵对</w:t>
            </w:r>
            <w:r>
              <w:rPr>
                <w:rFonts w:hint="eastAsia" w:ascii="Times New Roman" w:hAnsi="宋体" w:eastAsia="宋体" w:cs="Times New Roman"/>
                <w:color w:val="000000"/>
                <w:kern w:val="0"/>
                <w:sz w:val="18"/>
                <w:szCs w:val="18"/>
              </w:rPr>
              <w:t>自动监测</w:t>
            </w:r>
            <w:r>
              <w:rPr>
                <w:rFonts w:ascii="Times New Roman" w:hAnsi="宋体" w:eastAsia="宋体" w:cs="Times New Roman"/>
                <w:color w:val="000000"/>
                <w:kern w:val="0"/>
                <w:sz w:val="18"/>
                <w:szCs w:val="18"/>
              </w:rPr>
              <w:t>仪进行重复性试验、零点漂移和量程漂移试验。</w:t>
            </w:r>
          </w:p>
        </w:tc>
        <w:tc>
          <w:tcPr>
            <w:tcW w:w="4050" w:type="dxa"/>
            <w:tcBorders>
              <w:top w:val="single" w:color="auto" w:sz="8" w:space="0"/>
              <w:bottom w:val="single" w:color="auto" w:sz="8" w:space="0"/>
            </w:tcBorders>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进行一次重复性试验、零点漂移和量程漂移试验，试验结果满足规定的性能指标要求；具体操作和要求详见相关文件：</w:t>
            </w:r>
            <w:r>
              <w:rPr>
                <w:rFonts w:ascii="Times New Roman" w:hAnsi="Times New Roman" w:eastAsia="宋体" w:cs="Times New Roman"/>
                <w:color w:val="000000"/>
                <w:kern w:val="0"/>
                <w:sz w:val="18"/>
                <w:szCs w:val="18"/>
              </w:rPr>
              <w:t>HJ/T 355</w:t>
            </w:r>
            <w:r>
              <w:rPr>
                <w:rFonts w:ascii="Times New Roman" w:hAnsi="宋体" w:eastAsia="宋体" w:cs="Times New Roman"/>
                <w:color w:val="000000"/>
                <w:kern w:val="0"/>
                <w:sz w:val="18"/>
                <w:szCs w:val="18"/>
              </w:rPr>
              <w:t>《水污染源在线监测系统运行与考核技术规范》和重金属自动监测仪相关的技术要求、检测方法及规范。</w:t>
            </w:r>
          </w:p>
        </w:tc>
        <w:tc>
          <w:tcPr>
            <w:tcW w:w="1858" w:type="dxa"/>
            <w:tcBorders>
              <w:top w:val="single" w:color="auto" w:sz="8" w:space="0"/>
              <w:bottom w:val="single" w:color="auto" w:sz="8" w:space="0"/>
            </w:tcBorders>
            <w:noWrap w:val="0"/>
            <w:vAlign w:val="center"/>
          </w:tcPr>
          <w:p>
            <w:pPr>
              <w:pStyle w:val="4"/>
              <w:snapToGrid w:val="0"/>
              <w:contextualSpacing/>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90</w:t>
            </w:r>
            <w:r>
              <w:rPr>
                <w:rFonts w:ascii="Times New Roman" w:hAnsi="宋体" w:eastAsia="宋体" w:cs="Times New Roman"/>
                <w:color w:val="000000"/>
                <w:kern w:val="0"/>
                <w:sz w:val="18"/>
                <w:szCs w:val="18"/>
              </w:rPr>
              <w:t>日内至少进行</w:t>
            </w:r>
            <w:r>
              <w:rPr>
                <w:rFonts w:ascii="Times New Roman" w:hAnsi="Times New Roman" w:eastAsia="宋体" w:cs="Times New Roman"/>
                <w:color w:val="000000"/>
                <w:kern w:val="0"/>
                <w:sz w:val="18"/>
                <w:szCs w:val="18"/>
              </w:rPr>
              <w:t>1</w:t>
            </w:r>
            <w:r>
              <w:rPr>
                <w:rFonts w:ascii="Times New Roman" w:hAnsi="宋体" w:eastAsia="宋体" w:cs="Times New Roman"/>
                <w:color w:val="000000"/>
                <w:kern w:val="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93" w:hRule="atLeast"/>
          <w:jc w:val="center"/>
        </w:trPr>
        <w:tc>
          <w:tcPr>
            <w:tcW w:w="1262" w:type="dxa"/>
            <w:vMerge w:val="continue"/>
            <w:noWrap w:val="0"/>
            <w:vAlign w:val="center"/>
          </w:tcPr>
          <w:p>
            <w:pPr>
              <w:pStyle w:val="4"/>
              <w:snapToGrid w:val="0"/>
              <w:contextualSpacing/>
              <w:rPr>
                <w:rFonts w:ascii="Times New Roman" w:hAnsi="Times New Roman" w:eastAsia="宋体" w:cs="Times New Roman"/>
                <w:color w:val="000000"/>
                <w:kern w:val="0"/>
                <w:sz w:val="18"/>
                <w:szCs w:val="18"/>
              </w:rPr>
            </w:pPr>
          </w:p>
        </w:tc>
        <w:tc>
          <w:tcPr>
            <w:tcW w:w="2410" w:type="dxa"/>
            <w:tcBorders>
              <w:top w:val="single" w:color="auto" w:sz="8" w:space="0"/>
            </w:tcBorders>
            <w:noWrap w:val="0"/>
            <w:vAlign w:val="center"/>
          </w:tcPr>
          <w:p>
            <w:pPr>
              <w:pStyle w:val="4"/>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⑶检定</w:t>
            </w:r>
          </w:p>
        </w:tc>
        <w:tc>
          <w:tcPr>
            <w:tcW w:w="4050" w:type="dxa"/>
            <w:tcBorders>
              <w:top w:val="single" w:color="auto" w:sz="8" w:space="0"/>
            </w:tcBorders>
            <w:noWrap w:val="0"/>
            <w:vAlign w:val="center"/>
          </w:tcPr>
          <w:p>
            <w:pPr>
              <w:pStyle w:val="4"/>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校准合格并在有效期内。</w:t>
            </w:r>
          </w:p>
        </w:tc>
        <w:tc>
          <w:tcPr>
            <w:tcW w:w="1858" w:type="dxa"/>
            <w:tcBorders>
              <w:top w:val="single" w:color="auto" w:sz="8" w:space="0"/>
            </w:tcBorders>
            <w:noWrap w:val="0"/>
            <w:vAlign w:val="center"/>
          </w:tcPr>
          <w:p>
            <w:pPr>
              <w:pStyle w:val="4"/>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每年一次</w:t>
            </w:r>
          </w:p>
        </w:tc>
      </w:tr>
    </w:tbl>
    <w:p>
      <w:pPr>
        <w:widowControl w:val="0"/>
        <w:numPr>
          <w:ilvl w:val="0"/>
          <w:numId w:val="0"/>
        </w:numPr>
        <w:kinsoku/>
        <w:autoSpaceDE/>
        <w:autoSpaceDN/>
        <w:adjustRightInd/>
        <w:snapToGrid/>
        <w:jc w:val="both"/>
        <w:textAlignment w:val="auto"/>
        <w:rPr>
          <w:rFonts w:hint="default" w:ascii="宋体" w:hAnsi="宋体" w:eastAsia="宋体" w:cs="宋体"/>
          <w:b w:val="0"/>
          <w:bCs w:val="0"/>
          <w:snapToGrid/>
          <w:color w:val="0F1115"/>
          <w:sz w:val="28"/>
          <w:szCs w:val="28"/>
          <w:lang w:val="en-US" w:eastAsia="zh-CN"/>
        </w:rPr>
      </w:pPr>
    </w:p>
    <w:p>
      <w:pPr>
        <w:widowControl w:val="0"/>
        <w:numPr>
          <w:ilvl w:val="0"/>
          <w:numId w:val="0"/>
        </w:numPr>
        <w:kinsoku/>
        <w:autoSpaceDE/>
        <w:autoSpaceDN/>
        <w:adjustRightInd/>
        <w:snapToGrid/>
        <w:jc w:val="center"/>
        <w:textAlignment w:val="auto"/>
        <w:rPr>
          <w:rFonts w:hint="default" w:ascii="宋体" w:hAnsi="宋体" w:eastAsia="宋体" w:cs="宋体"/>
          <w:b w:val="0"/>
          <w:bCs w:val="0"/>
          <w:snapToGrid/>
          <w:color w:val="0F1115"/>
          <w:sz w:val="28"/>
          <w:szCs w:val="28"/>
          <w:lang w:val="en-US" w:eastAsia="zh-CN"/>
        </w:rPr>
      </w:pPr>
    </w:p>
    <w:p>
      <w:pPr>
        <w:pStyle w:val="4"/>
        <w:spacing w:line="360" w:lineRule="auto"/>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表A</w:t>
      </w:r>
      <w:r>
        <w:rPr>
          <w:rFonts w:hint="eastAsia" w:ascii="Times New Roman" w:hAnsi="Times New Roman" w:cs="Times New Roman"/>
          <w:color w:val="000000"/>
          <w:szCs w:val="21"/>
          <w:lang w:val="en-US" w:eastAsia="zh-CN"/>
        </w:rPr>
        <w:t>3</w:t>
      </w:r>
      <w:r>
        <w:rPr>
          <w:rFonts w:ascii="Times New Roman" w:hAnsi="Times New Roman" w:eastAsia="宋体" w:cs="Times New Roman"/>
          <w:color w:val="000000"/>
          <w:szCs w:val="21"/>
        </w:rPr>
        <w:t xml:space="preserve"> 数据采集传输仪服务内容及规范</w:t>
      </w:r>
    </w:p>
    <w:tbl>
      <w:tblPr>
        <w:tblStyle w:val="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31"/>
        <w:gridCol w:w="3080"/>
        <w:gridCol w:w="3171"/>
        <w:gridCol w:w="18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1431"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服务对象</w:t>
            </w:r>
          </w:p>
        </w:tc>
        <w:tc>
          <w:tcPr>
            <w:tcW w:w="3080"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服务内容</w:t>
            </w:r>
          </w:p>
        </w:tc>
        <w:tc>
          <w:tcPr>
            <w:tcW w:w="3171"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服务规范</w:t>
            </w:r>
          </w:p>
        </w:tc>
        <w:tc>
          <w:tcPr>
            <w:tcW w:w="1817"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服务频率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1431" w:type="dxa"/>
            <w:vMerge w:val="restart"/>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数据采集传输仪</w:t>
            </w:r>
          </w:p>
        </w:tc>
        <w:tc>
          <w:tcPr>
            <w:tcW w:w="8068" w:type="dxa"/>
            <w:gridSpan w:val="3"/>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日常运维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6" w:hRule="atLeast"/>
          <w:jc w:val="center"/>
        </w:trPr>
        <w:tc>
          <w:tcPr>
            <w:tcW w:w="1431" w:type="dxa"/>
            <w:vMerge w:val="continue"/>
            <w:noWrap w:val="0"/>
            <w:vAlign w:val="center"/>
          </w:tcPr>
          <w:p>
            <w:pPr>
              <w:pStyle w:val="4"/>
              <w:rPr>
                <w:rFonts w:ascii="Times New Roman" w:hAnsi="Times New Roman" w:eastAsia="宋体" w:cs="Times New Roman"/>
                <w:color w:val="000000"/>
                <w:sz w:val="18"/>
                <w:szCs w:val="18"/>
              </w:rPr>
            </w:pPr>
          </w:p>
        </w:tc>
        <w:tc>
          <w:tcPr>
            <w:tcW w:w="3080"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⑴检查设备运行状态</w:t>
            </w:r>
          </w:p>
        </w:tc>
        <w:tc>
          <w:tcPr>
            <w:tcW w:w="3171"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设备运行状态，有备用电源的需要断开供电电源测试数据采集仪备用电池能否正常工作。</w:t>
            </w:r>
          </w:p>
        </w:tc>
        <w:tc>
          <w:tcPr>
            <w:tcW w:w="1817"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至少检查一次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431" w:type="dxa"/>
            <w:vMerge w:val="continue"/>
            <w:noWrap w:val="0"/>
            <w:vAlign w:val="center"/>
          </w:tcPr>
          <w:p>
            <w:pPr>
              <w:pStyle w:val="4"/>
              <w:rPr>
                <w:rFonts w:ascii="Times New Roman" w:hAnsi="Times New Roman" w:eastAsia="宋体" w:cs="Times New Roman"/>
                <w:color w:val="000000"/>
                <w:sz w:val="18"/>
                <w:szCs w:val="18"/>
              </w:rPr>
            </w:pPr>
          </w:p>
        </w:tc>
        <w:tc>
          <w:tcPr>
            <w:tcW w:w="3080"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⑵检查仪器的系统时间</w:t>
            </w:r>
          </w:p>
        </w:tc>
        <w:tc>
          <w:tcPr>
            <w:tcW w:w="3171"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与北京时间同步，必要时进行校准。</w:t>
            </w:r>
          </w:p>
        </w:tc>
        <w:tc>
          <w:tcPr>
            <w:tcW w:w="1817"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54" w:hRule="atLeast"/>
          <w:jc w:val="center"/>
        </w:trPr>
        <w:tc>
          <w:tcPr>
            <w:tcW w:w="1431" w:type="dxa"/>
            <w:vMerge w:val="continue"/>
            <w:noWrap w:val="0"/>
            <w:vAlign w:val="center"/>
          </w:tcPr>
          <w:p>
            <w:pPr>
              <w:pStyle w:val="4"/>
              <w:rPr>
                <w:rFonts w:ascii="Times New Roman" w:hAnsi="Times New Roman" w:eastAsia="宋体" w:cs="Times New Roman"/>
                <w:color w:val="000000"/>
                <w:sz w:val="18"/>
                <w:szCs w:val="18"/>
              </w:rPr>
            </w:pPr>
          </w:p>
        </w:tc>
        <w:tc>
          <w:tcPr>
            <w:tcW w:w="3080"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⑶检查自动</w:t>
            </w:r>
            <w:r>
              <w:rPr>
                <w:rFonts w:hint="eastAsia" w:ascii="Times New Roman" w:hAnsi="宋体" w:eastAsia="宋体" w:cs="Times New Roman"/>
                <w:color w:val="000000"/>
                <w:sz w:val="18"/>
                <w:szCs w:val="18"/>
              </w:rPr>
              <w:t>监测</w:t>
            </w:r>
            <w:r>
              <w:rPr>
                <w:rFonts w:ascii="Times New Roman" w:hAnsi="宋体" w:eastAsia="宋体" w:cs="Times New Roman"/>
                <w:color w:val="000000"/>
                <w:sz w:val="18"/>
                <w:szCs w:val="18"/>
              </w:rPr>
              <w:t>仪</w:t>
            </w:r>
            <w:r>
              <w:rPr>
                <w:rFonts w:hint="eastAsia" w:ascii="Times New Roman" w:hAnsi="宋体" w:eastAsia="宋体" w:cs="Times New Roman"/>
                <w:color w:val="000000"/>
                <w:sz w:val="18"/>
                <w:szCs w:val="18"/>
              </w:rPr>
              <w:t>、</w:t>
            </w:r>
            <w:r>
              <w:rPr>
                <w:rFonts w:ascii="Times New Roman" w:hAnsi="宋体" w:eastAsia="宋体" w:cs="Times New Roman"/>
                <w:color w:val="000000"/>
                <w:sz w:val="18"/>
                <w:szCs w:val="18"/>
              </w:rPr>
              <w:t>数据采集传输仪</w:t>
            </w:r>
            <w:r>
              <w:rPr>
                <w:rFonts w:hint="eastAsia" w:ascii="Times New Roman" w:hAnsi="宋体" w:eastAsia="宋体" w:cs="Times New Roman"/>
                <w:color w:val="000000"/>
                <w:sz w:val="18"/>
                <w:szCs w:val="18"/>
              </w:rPr>
              <w:t>和</w:t>
            </w:r>
            <w:r>
              <w:rPr>
                <w:rFonts w:ascii="Times New Roman" w:hAnsi="宋体" w:eastAsia="宋体" w:cs="Times New Roman"/>
                <w:color w:val="000000"/>
                <w:sz w:val="18"/>
                <w:szCs w:val="18"/>
              </w:rPr>
              <w:t>监控平台的数据一致性</w:t>
            </w:r>
          </w:p>
        </w:tc>
        <w:tc>
          <w:tcPr>
            <w:tcW w:w="3171"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检查自动</w:t>
            </w:r>
            <w:r>
              <w:rPr>
                <w:rFonts w:hint="eastAsia" w:ascii="Times New Roman" w:hAnsi="宋体" w:eastAsia="宋体" w:cs="Times New Roman"/>
                <w:color w:val="000000"/>
                <w:sz w:val="18"/>
                <w:szCs w:val="18"/>
              </w:rPr>
              <w:t>监测</w:t>
            </w:r>
            <w:r>
              <w:rPr>
                <w:rFonts w:ascii="Times New Roman" w:hAnsi="宋体" w:eastAsia="宋体" w:cs="Times New Roman"/>
                <w:color w:val="000000"/>
                <w:sz w:val="18"/>
                <w:szCs w:val="18"/>
              </w:rPr>
              <w:t>仪与数据采集仪的数据是否一致，需要单位换算的要检查单位换算系数设置是否正确；现场检查数据采集仪与监控平台</w:t>
            </w:r>
            <w:r>
              <w:rPr>
                <w:rFonts w:hint="eastAsia" w:ascii="Times New Roman" w:hAnsi="宋体" w:eastAsia="宋体" w:cs="Times New Roman"/>
                <w:color w:val="000000"/>
                <w:sz w:val="18"/>
                <w:szCs w:val="18"/>
              </w:rPr>
              <w:t>的</w:t>
            </w:r>
            <w:r>
              <w:rPr>
                <w:rFonts w:ascii="Times New Roman" w:hAnsi="宋体" w:eastAsia="宋体" w:cs="Times New Roman"/>
                <w:color w:val="000000"/>
                <w:sz w:val="18"/>
                <w:szCs w:val="18"/>
              </w:rPr>
              <w:t>数据是否一致；</w:t>
            </w:r>
            <w:r>
              <w:rPr>
                <w:rFonts w:hint="eastAsia" w:ascii="Times New Roman" w:hAnsi="宋体" w:eastAsia="宋体" w:cs="Times New Roman"/>
                <w:color w:val="000000"/>
                <w:sz w:val="18"/>
                <w:szCs w:val="18"/>
              </w:rPr>
              <w:t>数据偏</w:t>
            </w:r>
            <w:r>
              <w:rPr>
                <w:rFonts w:ascii="Times New Roman" w:hAnsi="宋体" w:eastAsia="宋体" w:cs="Times New Roman"/>
                <w:color w:val="000000"/>
                <w:sz w:val="18"/>
                <w:szCs w:val="18"/>
              </w:rPr>
              <w:t>差</w:t>
            </w:r>
            <w:r>
              <w:rPr>
                <w:rFonts w:hint="eastAsia" w:ascii="Times New Roman" w:hAnsi="宋体" w:eastAsia="宋体" w:cs="Times New Roman"/>
                <w:color w:val="000000"/>
                <w:sz w:val="18"/>
                <w:szCs w:val="18"/>
              </w:rPr>
              <w:t>应</w:t>
            </w:r>
            <w:r>
              <w:rPr>
                <w:rFonts w:ascii="Times New Roman" w:hAnsi="宋体" w:eastAsia="宋体" w:cs="Times New Roman"/>
                <w:color w:val="000000"/>
                <w:sz w:val="18"/>
                <w:szCs w:val="18"/>
              </w:rPr>
              <w:t>低于</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w:t>
            </w:r>
          </w:p>
        </w:tc>
        <w:tc>
          <w:tcPr>
            <w:tcW w:w="1817"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431" w:type="dxa"/>
            <w:vMerge w:val="continue"/>
            <w:noWrap w:val="0"/>
            <w:vAlign w:val="center"/>
          </w:tcPr>
          <w:p>
            <w:pPr>
              <w:pStyle w:val="4"/>
              <w:rPr>
                <w:rFonts w:ascii="Times New Roman" w:hAnsi="Times New Roman" w:eastAsia="宋体" w:cs="Times New Roman"/>
                <w:color w:val="000000"/>
                <w:sz w:val="18"/>
                <w:szCs w:val="18"/>
              </w:rPr>
            </w:pPr>
          </w:p>
        </w:tc>
        <w:tc>
          <w:tcPr>
            <w:tcW w:w="3080"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⑷检查仪器参数设置</w:t>
            </w:r>
          </w:p>
        </w:tc>
        <w:tc>
          <w:tcPr>
            <w:tcW w:w="3171"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检查数据采集仪</w:t>
            </w:r>
            <w:r>
              <w:rPr>
                <w:rFonts w:hint="eastAsia" w:ascii="Times New Roman" w:hAnsi="宋体" w:eastAsia="宋体" w:cs="Times New Roman"/>
                <w:color w:val="000000"/>
                <w:sz w:val="18"/>
                <w:szCs w:val="18"/>
              </w:rPr>
              <w:t>的</w:t>
            </w:r>
            <w:r>
              <w:rPr>
                <w:rFonts w:ascii="Times New Roman" w:hAnsi="宋体" w:eastAsia="宋体" w:cs="Times New Roman"/>
                <w:color w:val="000000"/>
                <w:sz w:val="18"/>
                <w:szCs w:val="18"/>
              </w:rPr>
              <w:t>参数设置是否符合规范并与申报登记一致。</w:t>
            </w:r>
          </w:p>
        </w:tc>
        <w:tc>
          <w:tcPr>
            <w:tcW w:w="1817"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431" w:type="dxa"/>
            <w:vMerge w:val="continue"/>
            <w:noWrap w:val="0"/>
            <w:vAlign w:val="center"/>
          </w:tcPr>
          <w:p>
            <w:pPr>
              <w:pStyle w:val="4"/>
              <w:rPr>
                <w:rFonts w:ascii="Times New Roman" w:hAnsi="Times New Roman" w:eastAsia="宋体" w:cs="Times New Roman"/>
                <w:color w:val="000000"/>
                <w:sz w:val="18"/>
                <w:szCs w:val="18"/>
              </w:rPr>
            </w:pPr>
          </w:p>
        </w:tc>
        <w:tc>
          <w:tcPr>
            <w:tcW w:w="3080"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⑸检查报表及曲线</w:t>
            </w:r>
          </w:p>
        </w:tc>
        <w:tc>
          <w:tcPr>
            <w:tcW w:w="3171"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数据采集传输仪</w:t>
            </w:r>
            <w:r>
              <w:rPr>
                <w:rFonts w:hint="eastAsia" w:ascii="Times New Roman" w:hAnsi="宋体" w:eastAsia="宋体" w:cs="Times New Roman"/>
                <w:color w:val="000000"/>
                <w:sz w:val="18"/>
                <w:szCs w:val="18"/>
              </w:rPr>
              <w:t>的</w:t>
            </w:r>
            <w:r>
              <w:rPr>
                <w:rFonts w:ascii="Times New Roman" w:hAnsi="宋体" w:eastAsia="宋体" w:cs="Times New Roman"/>
                <w:color w:val="000000"/>
                <w:sz w:val="18"/>
                <w:szCs w:val="18"/>
              </w:rPr>
              <w:t>数据报表、曲线</w:t>
            </w:r>
            <w:r>
              <w:rPr>
                <w:rFonts w:hint="eastAsia" w:ascii="Times New Roman" w:hAnsi="宋体" w:eastAsia="宋体" w:cs="Times New Roman"/>
                <w:color w:val="000000"/>
                <w:sz w:val="18"/>
                <w:szCs w:val="18"/>
              </w:rPr>
              <w:t>能</w:t>
            </w:r>
            <w:r>
              <w:rPr>
                <w:rFonts w:ascii="Times New Roman" w:hAnsi="宋体" w:eastAsia="宋体" w:cs="Times New Roman"/>
                <w:color w:val="000000"/>
                <w:sz w:val="18"/>
                <w:szCs w:val="18"/>
              </w:rPr>
              <w:t>正常生成，数据标识正常。</w:t>
            </w:r>
          </w:p>
        </w:tc>
        <w:tc>
          <w:tcPr>
            <w:tcW w:w="1817"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431" w:type="dxa"/>
            <w:vMerge w:val="continue"/>
            <w:noWrap w:val="0"/>
            <w:vAlign w:val="center"/>
          </w:tcPr>
          <w:p>
            <w:pPr>
              <w:pStyle w:val="4"/>
              <w:rPr>
                <w:rFonts w:ascii="Times New Roman" w:hAnsi="Times New Roman" w:eastAsia="宋体" w:cs="Times New Roman"/>
                <w:color w:val="000000"/>
                <w:sz w:val="18"/>
                <w:szCs w:val="18"/>
              </w:rPr>
            </w:pPr>
          </w:p>
        </w:tc>
        <w:tc>
          <w:tcPr>
            <w:tcW w:w="3080"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⑹检查反控功能</w:t>
            </w:r>
          </w:p>
        </w:tc>
        <w:tc>
          <w:tcPr>
            <w:tcW w:w="3171"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反控</w:t>
            </w:r>
            <w:r>
              <w:rPr>
                <w:rFonts w:hint="eastAsia" w:ascii="Times New Roman" w:hAnsi="宋体" w:eastAsia="宋体" w:cs="Times New Roman"/>
                <w:color w:val="000000"/>
                <w:sz w:val="18"/>
                <w:szCs w:val="18"/>
              </w:rPr>
              <w:t>功能</w:t>
            </w:r>
            <w:r>
              <w:rPr>
                <w:rFonts w:ascii="Times New Roman" w:hAnsi="宋体" w:eastAsia="宋体" w:cs="Times New Roman"/>
                <w:color w:val="000000"/>
                <w:sz w:val="18"/>
                <w:szCs w:val="18"/>
              </w:rPr>
              <w:t>能正常</w:t>
            </w:r>
            <w:r>
              <w:rPr>
                <w:rFonts w:hint="eastAsia" w:ascii="Times New Roman" w:hAnsi="宋体" w:eastAsia="宋体" w:cs="Times New Roman"/>
                <w:color w:val="000000"/>
                <w:sz w:val="18"/>
                <w:szCs w:val="18"/>
              </w:rPr>
              <w:t>使用</w:t>
            </w:r>
            <w:r>
              <w:rPr>
                <w:rFonts w:ascii="Times New Roman" w:hAnsi="宋体" w:eastAsia="宋体" w:cs="Times New Roman"/>
                <w:color w:val="000000"/>
                <w:sz w:val="18"/>
                <w:szCs w:val="18"/>
              </w:rPr>
              <w:t>，下端仪器能按反控指令动作。</w:t>
            </w:r>
          </w:p>
        </w:tc>
        <w:tc>
          <w:tcPr>
            <w:tcW w:w="1817"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每月至少检查一次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431" w:type="dxa"/>
            <w:vMerge w:val="continue"/>
            <w:noWrap w:val="0"/>
            <w:vAlign w:val="center"/>
          </w:tcPr>
          <w:p>
            <w:pPr>
              <w:pStyle w:val="4"/>
              <w:rPr>
                <w:rFonts w:ascii="Times New Roman" w:hAnsi="Times New Roman" w:eastAsia="宋体" w:cs="Times New Roman"/>
                <w:color w:val="000000"/>
                <w:sz w:val="18"/>
                <w:szCs w:val="18"/>
              </w:rPr>
            </w:pPr>
          </w:p>
        </w:tc>
        <w:tc>
          <w:tcPr>
            <w:tcW w:w="3080"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⑺检查</w:t>
            </w:r>
            <w:r>
              <w:rPr>
                <w:rFonts w:hint="eastAsia" w:ascii="Times New Roman" w:hAnsi="宋体" w:eastAsia="宋体" w:cs="Times New Roman"/>
                <w:color w:val="000000"/>
                <w:sz w:val="18"/>
                <w:szCs w:val="18"/>
              </w:rPr>
              <w:t>防</w:t>
            </w:r>
            <w:r>
              <w:rPr>
                <w:rFonts w:ascii="Times New Roman" w:hAnsi="宋体" w:eastAsia="宋体" w:cs="Times New Roman"/>
                <w:color w:val="000000"/>
                <w:sz w:val="18"/>
                <w:szCs w:val="18"/>
              </w:rPr>
              <w:t>病毒功能</w:t>
            </w:r>
            <w:r>
              <w:rPr>
                <w:rFonts w:hint="eastAsia" w:ascii="Times New Roman" w:hAnsi="宋体" w:eastAsia="宋体" w:cs="Times New Roman"/>
                <w:color w:val="000000"/>
                <w:sz w:val="18"/>
                <w:szCs w:val="18"/>
              </w:rPr>
              <w:t>（数据采集传输仪为工控机时）</w:t>
            </w:r>
          </w:p>
        </w:tc>
        <w:tc>
          <w:tcPr>
            <w:tcW w:w="3171" w:type="dxa"/>
            <w:noWrap w:val="0"/>
            <w:vAlign w:val="center"/>
          </w:tcPr>
          <w:p>
            <w:pPr>
              <w:pStyle w:val="4"/>
              <w:rPr>
                <w:rFonts w:ascii="Times New Roman" w:hAnsi="Times New Roman" w:eastAsia="宋体" w:cs="Times New Roman"/>
                <w:color w:val="000000"/>
                <w:sz w:val="18"/>
                <w:szCs w:val="18"/>
              </w:rPr>
            </w:pPr>
            <w:r>
              <w:rPr>
                <w:rFonts w:hint="eastAsia" w:ascii="Times New Roman" w:hAnsi="宋体" w:eastAsia="宋体" w:cs="Times New Roman"/>
                <w:color w:val="000000"/>
                <w:sz w:val="18"/>
                <w:szCs w:val="18"/>
              </w:rPr>
              <w:t>安装杀毒软件，每月扫描漏洞并升级病毒库。</w:t>
            </w:r>
          </w:p>
        </w:tc>
        <w:tc>
          <w:tcPr>
            <w:tcW w:w="1817"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每月至少检查一次</w:t>
            </w:r>
          </w:p>
        </w:tc>
      </w:tr>
    </w:tbl>
    <w:p>
      <w:pPr>
        <w:widowControl w:val="0"/>
        <w:numPr>
          <w:ilvl w:val="0"/>
          <w:numId w:val="0"/>
        </w:numPr>
        <w:kinsoku/>
        <w:autoSpaceDE/>
        <w:autoSpaceDN/>
        <w:adjustRightInd/>
        <w:snapToGrid/>
        <w:jc w:val="center"/>
        <w:textAlignment w:val="auto"/>
        <w:rPr>
          <w:rFonts w:hint="default" w:ascii="宋体" w:hAnsi="宋体" w:eastAsia="宋体" w:cs="宋体"/>
          <w:b w:val="0"/>
          <w:bCs w:val="0"/>
          <w:snapToGrid/>
          <w:color w:val="0F1115"/>
          <w:sz w:val="28"/>
          <w:szCs w:val="28"/>
          <w:lang w:val="en-US" w:eastAsia="zh-CN"/>
        </w:rPr>
      </w:pPr>
    </w:p>
    <w:p>
      <w:pPr>
        <w:pStyle w:val="4"/>
        <w:spacing w:line="360" w:lineRule="auto"/>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表A</w:t>
      </w:r>
      <w:r>
        <w:rPr>
          <w:rFonts w:hint="eastAsia" w:ascii="Times New Roman" w:hAnsi="Times New Roman" w:cs="Times New Roman"/>
          <w:color w:val="000000"/>
          <w:szCs w:val="21"/>
          <w:lang w:val="en-US" w:eastAsia="zh-CN"/>
        </w:rPr>
        <w:t>4</w:t>
      </w:r>
      <w:r>
        <w:rPr>
          <w:rFonts w:ascii="Times New Roman" w:hAnsi="Times New Roman" w:eastAsia="宋体" w:cs="Times New Roman"/>
          <w:color w:val="000000"/>
          <w:szCs w:val="21"/>
        </w:rPr>
        <w:t xml:space="preserve"> 站房及辅助设施服务内容及规范</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3049"/>
        <w:gridCol w:w="3195"/>
        <w:gridCol w:w="1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服务对象</w:t>
            </w:r>
          </w:p>
        </w:tc>
        <w:tc>
          <w:tcPr>
            <w:tcW w:w="3049"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服务内容</w:t>
            </w:r>
          </w:p>
        </w:tc>
        <w:tc>
          <w:tcPr>
            <w:tcW w:w="3195"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服务规范</w:t>
            </w:r>
          </w:p>
        </w:tc>
        <w:tc>
          <w:tcPr>
            <w:tcW w:w="1798"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服务频率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restart"/>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站房及辅助设施</w:t>
            </w: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⑴检查门禁系统、窗户</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门禁系统正常，窗户锁紧密封。</w:t>
            </w:r>
          </w:p>
        </w:tc>
        <w:tc>
          <w:tcPr>
            <w:tcW w:w="1798"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continue"/>
            <w:noWrap w:val="0"/>
            <w:vAlign w:val="center"/>
          </w:tcPr>
          <w:p>
            <w:pPr>
              <w:pStyle w:val="4"/>
              <w:rPr>
                <w:rFonts w:ascii="Times New Roman" w:hAnsi="Times New Roman" w:eastAsia="宋体" w:cs="Times New Roman"/>
                <w:color w:val="000000"/>
                <w:sz w:val="18"/>
                <w:szCs w:val="18"/>
              </w:rPr>
            </w:pP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⑵检查站房内供电、漏电保护开关、交流稳压器、不间断电源、照明</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站房供电正常，漏电开关正常，交流稳压器电压稳定，不间断电源正常开启，照明正常。</w:t>
            </w:r>
          </w:p>
        </w:tc>
        <w:tc>
          <w:tcPr>
            <w:tcW w:w="1798"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continue"/>
            <w:noWrap w:val="0"/>
            <w:vAlign w:val="center"/>
          </w:tcPr>
          <w:p>
            <w:pPr>
              <w:pStyle w:val="4"/>
              <w:rPr>
                <w:rFonts w:ascii="Times New Roman" w:hAnsi="Times New Roman" w:eastAsia="宋体" w:cs="Times New Roman"/>
                <w:color w:val="000000"/>
                <w:sz w:val="18"/>
                <w:szCs w:val="18"/>
              </w:rPr>
            </w:pP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⑶监测站房温度、湿度</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空调和排气扇运行正常，温度、湿度正常。</w:t>
            </w:r>
          </w:p>
        </w:tc>
        <w:tc>
          <w:tcPr>
            <w:tcW w:w="1798"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continue"/>
            <w:noWrap w:val="0"/>
            <w:vAlign w:val="center"/>
          </w:tcPr>
          <w:p>
            <w:pPr>
              <w:pStyle w:val="4"/>
              <w:rPr>
                <w:rFonts w:ascii="Times New Roman" w:hAnsi="Times New Roman" w:eastAsia="宋体" w:cs="Times New Roman"/>
                <w:color w:val="000000"/>
                <w:sz w:val="18"/>
                <w:szCs w:val="18"/>
              </w:rPr>
            </w:pP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⑷检查自来水给排水装置</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自来水供应正常、排水管道正常。</w:t>
            </w:r>
          </w:p>
        </w:tc>
        <w:tc>
          <w:tcPr>
            <w:tcW w:w="1798"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continue"/>
            <w:noWrap w:val="0"/>
            <w:vAlign w:val="center"/>
          </w:tcPr>
          <w:p>
            <w:pPr>
              <w:pStyle w:val="4"/>
              <w:rPr>
                <w:rFonts w:ascii="Times New Roman" w:hAnsi="Times New Roman" w:eastAsia="宋体" w:cs="Times New Roman"/>
                <w:color w:val="000000"/>
                <w:sz w:val="18"/>
                <w:szCs w:val="18"/>
              </w:rPr>
            </w:pP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⑸检查压缩气源、</w:t>
            </w:r>
            <w:r>
              <w:rPr>
                <w:rFonts w:hint="eastAsia" w:ascii="Times New Roman" w:hAnsi="宋体" w:eastAsia="宋体" w:cs="Times New Roman"/>
                <w:color w:val="000000"/>
                <w:sz w:val="18"/>
                <w:szCs w:val="18"/>
              </w:rPr>
              <w:t>气水分离器</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压缩空气压力应</w:t>
            </w:r>
            <w:r>
              <w:rPr>
                <w:rFonts w:hint="eastAsia" w:ascii="Times New Roman" w:hAnsi="宋体" w:eastAsia="宋体" w:cs="Times New Roman"/>
                <w:color w:val="000000"/>
                <w:kern w:val="0"/>
                <w:sz w:val="18"/>
                <w:szCs w:val="18"/>
              </w:rPr>
              <w:t>在</w:t>
            </w:r>
            <w:r>
              <w:rPr>
                <w:rFonts w:ascii="Times New Roman" w:hAnsi="Times New Roman" w:eastAsia="宋体" w:cs="Times New Roman"/>
                <w:color w:val="000000"/>
                <w:kern w:val="0"/>
                <w:sz w:val="18"/>
                <w:szCs w:val="18"/>
              </w:rPr>
              <w:t>0.4-0.6Mpa</w:t>
            </w:r>
            <w:r>
              <w:rPr>
                <w:rFonts w:hint="eastAsia" w:ascii="Times New Roman" w:hAnsi="Times New Roman" w:eastAsia="宋体" w:cs="Times New Roman"/>
                <w:color w:val="000000"/>
                <w:kern w:val="0"/>
                <w:sz w:val="18"/>
                <w:szCs w:val="18"/>
              </w:rPr>
              <w:t>内</w:t>
            </w:r>
            <w:r>
              <w:rPr>
                <w:rFonts w:ascii="Times New Roman" w:hAnsi="宋体" w:eastAsia="宋体" w:cs="Times New Roman"/>
                <w:color w:val="000000"/>
                <w:sz w:val="18"/>
                <w:szCs w:val="18"/>
              </w:rPr>
              <w:t>，</w:t>
            </w:r>
            <w:r>
              <w:rPr>
                <w:rFonts w:hint="eastAsia" w:ascii="Times New Roman" w:hAnsi="宋体" w:eastAsia="宋体" w:cs="Times New Roman"/>
                <w:color w:val="000000"/>
                <w:sz w:val="18"/>
                <w:szCs w:val="18"/>
              </w:rPr>
              <w:t>气水分离器</w:t>
            </w:r>
            <w:r>
              <w:rPr>
                <w:rFonts w:ascii="Times New Roman" w:hAnsi="宋体" w:eastAsia="宋体" w:cs="Times New Roman"/>
                <w:color w:val="000000"/>
                <w:sz w:val="18"/>
                <w:szCs w:val="18"/>
              </w:rPr>
              <w:t>排水正常。</w:t>
            </w:r>
          </w:p>
        </w:tc>
        <w:tc>
          <w:tcPr>
            <w:tcW w:w="1798" w:type="dxa"/>
            <w:noWrap w:val="0"/>
            <w:vAlign w:val="center"/>
          </w:tcPr>
          <w:p>
            <w:pPr>
              <w:pStyle w:val="4"/>
              <w:rPr>
                <w:rFonts w:ascii="Times New Roman" w:hAnsi="Times New Roman" w:eastAsia="宋体" w:cs="Times New Roman"/>
                <w:color w:val="000000"/>
                <w:kern w:val="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continue"/>
            <w:noWrap w:val="0"/>
            <w:vAlign w:val="center"/>
          </w:tcPr>
          <w:p>
            <w:pPr>
              <w:pStyle w:val="4"/>
              <w:rPr>
                <w:rFonts w:ascii="Times New Roman" w:hAnsi="Times New Roman" w:eastAsia="宋体" w:cs="Times New Roman"/>
                <w:color w:val="000000"/>
                <w:sz w:val="18"/>
                <w:szCs w:val="18"/>
              </w:rPr>
            </w:pP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⑹检查站房卫生</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站房洁净。</w:t>
            </w:r>
          </w:p>
        </w:tc>
        <w:tc>
          <w:tcPr>
            <w:tcW w:w="1798"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每</w:t>
            </w:r>
            <w:r>
              <w:rPr>
                <w:rFonts w:ascii="Times New Roman" w:hAnsi="Times New Roman" w:eastAsia="宋体" w:cs="Times New Roman"/>
                <w:color w:val="000000"/>
                <w:kern w:val="0"/>
                <w:sz w:val="18"/>
                <w:szCs w:val="18"/>
              </w:rPr>
              <w:t>7</w:t>
            </w:r>
            <w:r>
              <w:rPr>
                <w:rFonts w:ascii="Times New Roman" w:hAnsi="宋体" w:eastAsia="宋体" w:cs="Times New Roman"/>
                <w:color w:val="000000"/>
                <w:kern w:val="0"/>
                <w:sz w:val="18"/>
                <w:szCs w:val="18"/>
              </w:rPr>
              <w:t>天</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continue"/>
            <w:noWrap w:val="0"/>
            <w:vAlign w:val="center"/>
          </w:tcPr>
          <w:p>
            <w:pPr>
              <w:pStyle w:val="4"/>
              <w:rPr>
                <w:rFonts w:ascii="Times New Roman" w:hAnsi="Times New Roman" w:eastAsia="宋体" w:cs="Times New Roman"/>
                <w:color w:val="000000"/>
                <w:sz w:val="18"/>
                <w:szCs w:val="18"/>
              </w:rPr>
            </w:pP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⑺检查站房铭牌、设备及管路标识</w:t>
            </w:r>
            <w:r>
              <w:rPr>
                <w:rFonts w:hint="eastAsia" w:ascii="Times New Roman" w:hAnsi="宋体" w:eastAsia="宋体" w:cs="Times New Roman"/>
                <w:color w:val="000000"/>
                <w:sz w:val="18"/>
                <w:szCs w:val="18"/>
              </w:rPr>
              <w:t>、运营</w:t>
            </w:r>
            <w:r>
              <w:rPr>
                <w:rFonts w:ascii="Times New Roman" w:hAnsi="宋体" w:eastAsia="宋体" w:cs="Times New Roman"/>
                <w:color w:val="000000"/>
                <w:sz w:val="18"/>
                <w:szCs w:val="18"/>
              </w:rPr>
              <w:t>制度</w:t>
            </w:r>
            <w:r>
              <w:rPr>
                <w:rFonts w:hint="eastAsia" w:ascii="Times New Roman" w:hAnsi="宋体" w:eastAsia="宋体" w:cs="Times New Roman"/>
                <w:color w:val="000000"/>
                <w:sz w:val="18"/>
                <w:szCs w:val="18"/>
              </w:rPr>
              <w:t>张贴</w:t>
            </w:r>
            <w:r>
              <w:rPr>
                <w:rFonts w:ascii="Times New Roman" w:hAnsi="宋体" w:eastAsia="宋体" w:cs="Times New Roman"/>
                <w:color w:val="000000"/>
                <w:sz w:val="18"/>
                <w:szCs w:val="18"/>
              </w:rPr>
              <w:t>情况</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无损坏，必要时进行更换。</w:t>
            </w:r>
          </w:p>
        </w:tc>
        <w:tc>
          <w:tcPr>
            <w:tcW w:w="1798"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每月至少检查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continue"/>
            <w:noWrap w:val="0"/>
            <w:vAlign w:val="center"/>
          </w:tcPr>
          <w:p>
            <w:pPr>
              <w:pStyle w:val="4"/>
              <w:rPr>
                <w:rFonts w:ascii="Times New Roman" w:hAnsi="Times New Roman" w:eastAsia="宋体" w:cs="Times New Roman"/>
                <w:color w:val="000000"/>
                <w:sz w:val="18"/>
                <w:szCs w:val="18"/>
              </w:rPr>
            </w:pP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⑻检查灭火装置</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灭火装置齐备且在有效期内。</w:t>
            </w:r>
          </w:p>
        </w:tc>
        <w:tc>
          <w:tcPr>
            <w:tcW w:w="1798"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每月至少检查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8" w:type="dxa"/>
            <w:vMerge w:val="continue"/>
            <w:noWrap w:val="0"/>
            <w:vAlign w:val="center"/>
          </w:tcPr>
          <w:p>
            <w:pPr>
              <w:pStyle w:val="4"/>
              <w:rPr>
                <w:rFonts w:ascii="Times New Roman" w:hAnsi="Times New Roman" w:eastAsia="宋体" w:cs="Times New Roman"/>
                <w:color w:val="000000"/>
                <w:sz w:val="18"/>
                <w:szCs w:val="18"/>
              </w:rPr>
            </w:pPr>
          </w:p>
        </w:tc>
        <w:tc>
          <w:tcPr>
            <w:tcW w:w="304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⑼检查避雷防雷系统</w:t>
            </w:r>
          </w:p>
        </w:tc>
        <w:tc>
          <w:tcPr>
            <w:tcW w:w="3195"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避雷防雷地线的地阻</w:t>
            </w:r>
            <w:r>
              <w:rPr>
                <w:rFonts w:hint="eastAsia" w:ascii="Times New Roman" w:hAnsi="宋体" w:eastAsia="宋体" w:cs="Times New Roman"/>
                <w:color w:val="000000"/>
                <w:sz w:val="18"/>
                <w:szCs w:val="18"/>
              </w:rPr>
              <w:t>值符合</w:t>
            </w:r>
            <w:r>
              <w:rPr>
                <w:rFonts w:ascii="Times New Roman" w:hAnsi="宋体" w:eastAsia="宋体" w:cs="Times New Roman"/>
                <w:color w:val="000000"/>
                <w:sz w:val="18"/>
                <w:szCs w:val="18"/>
              </w:rPr>
              <w:t>要求。</w:t>
            </w:r>
          </w:p>
        </w:tc>
        <w:tc>
          <w:tcPr>
            <w:tcW w:w="1798"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w:t>
            </w:r>
            <w:r>
              <w:rPr>
                <w:rFonts w:hint="eastAsia" w:ascii="Times New Roman" w:hAnsi="宋体" w:eastAsia="宋体" w:cs="Times New Roman"/>
                <w:color w:val="000000"/>
                <w:sz w:val="18"/>
                <w:szCs w:val="18"/>
              </w:rPr>
              <w:t>年</w:t>
            </w:r>
            <w:r>
              <w:rPr>
                <w:rFonts w:ascii="Times New Roman" w:hAnsi="宋体" w:eastAsia="宋体" w:cs="Times New Roman"/>
                <w:color w:val="000000"/>
                <w:sz w:val="18"/>
                <w:szCs w:val="18"/>
              </w:rPr>
              <w:t>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bl>
    <w:p>
      <w:pPr>
        <w:pStyle w:val="4"/>
        <w:rPr>
          <w:rFonts w:ascii="Times New Roman" w:hAnsi="Times New Roman" w:eastAsia="宋体" w:cs="Times New Roman"/>
          <w:b/>
          <w:color w:val="000000"/>
          <w:szCs w:val="21"/>
          <w:u w:val="single"/>
        </w:rPr>
      </w:pPr>
    </w:p>
    <w:p>
      <w:pPr>
        <w:pStyle w:val="4"/>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表</w:t>
      </w:r>
      <w:r>
        <w:rPr>
          <w:rFonts w:ascii="Times New Roman" w:hAnsi="Times New Roman" w:eastAsia="宋体" w:cs="Times New Roman"/>
          <w:color w:val="000000"/>
          <w:kern w:val="0"/>
          <w:szCs w:val="21"/>
        </w:rPr>
        <w:t>A</w:t>
      </w:r>
      <w:r>
        <w:rPr>
          <w:rFonts w:hint="eastAsia" w:ascii="Times New Roman" w:hAnsi="Times New Roman" w:cs="Times New Roman"/>
          <w:color w:val="000000"/>
          <w:kern w:val="0"/>
          <w:szCs w:val="21"/>
          <w:lang w:val="en-US" w:eastAsia="zh-CN"/>
        </w:rPr>
        <w:t>5</w:t>
      </w:r>
      <w:r>
        <w:rPr>
          <w:rFonts w:ascii="Times New Roman" w:hAnsi="宋体" w:eastAsia="宋体" w:cs="Times New Roman"/>
          <w:color w:val="000000"/>
          <w:kern w:val="0"/>
          <w:szCs w:val="21"/>
        </w:rPr>
        <w:t>网络</w:t>
      </w:r>
      <w:r>
        <w:rPr>
          <w:rFonts w:hint="eastAsia" w:ascii="Times New Roman" w:hAnsi="宋体" w:eastAsia="宋体" w:cs="Times New Roman"/>
          <w:color w:val="000000"/>
          <w:kern w:val="0"/>
          <w:szCs w:val="21"/>
        </w:rPr>
        <w:t>传输</w:t>
      </w:r>
      <w:r>
        <w:rPr>
          <w:rFonts w:ascii="Times New Roman" w:hAnsi="宋体" w:eastAsia="宋体" w:cs="Times New Roman"/>
          <w:color w:val="000000"/>
          <w:kern w:val="0"/>
          <w:szCs w:val="21"/>
        </w:rPr>
        <w:t>设备服务内容及规范</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995"/>
        <w:gridCol w:w="3228"/>
        <w:gridCol w:w="1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418"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服务对象</w:t>
            </w:r>
          </w:p>
        </w:tc>
        <w:tc>
          <w:tcPr>
            <w:tcW w:w="2995"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服务内容</w:t>
            </w:r>
          </w:p>
        </w:tc>
        <w:tc>
          <w:tcPr>
            <w:tcW w:w="3228"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服务规范</w:t>
            </w:r>
          </w:p>
        </w:tc>
        <w:tc>
          <w:tcPr>
            <w:tcW w:w="1776"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服务频率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418" w:type="dxa"/>
            <w:vMerge w:val="restart"/>
            <w:noWrap w:val="0"/>
            <w:vAlign w:val="center"/>
          </w:tcPr>
          <w:p>
            <w:pPr>
              <w:pStyle w:val="4"/>
              <w:adjustRightInd w:val="0"/>
              <w:snapToGrid w:val="0"/>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网络设备</w:t>
            </w:r>
          </w:p>
        </w:tc>
        <w:tc>
          <w:tcPr>
            <w:tcW w:w="2995" w:type="dxa"/>
            <w:noWrap w:val="0"/>
            <w:vAlign w:val="center"/>
          </w:tcPr>
          <w:p>
            <w:pPr>
              <w:pStyle w:val="4"/>
              <w:adjustRightInd w:val="0"/>
              <w:snapToGrid w:val="0"/>
              <w:jc w:val="left"/>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⑴检查设备运行状态</w:t>
            </w:r>
          </w:p>
        </w:tc>
        <w:tc>
          <w:tcPr>
            <w:tcW w:w="3228" w:type="dxa"/>
            <w:noWrap w:val="0"/>
            <w:vAlign w:val="center"/>
          </w:tcPr>
          <w:p>
            <w:pPr>
              <w:pStyle w:val="4"/>
              <w:adjustRightInd w:val="0"/>
              <w:snapToGrid w:val="0"/>
              <w:jc w:val="left"/>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网络连接情况（响应时间、</w:t>
            </w:r>
            <w:r>
              <w:rPr>
                <w:rFonts w:hint="eastAsia" w:ascii="Times New Roman" w:hAnsi="宋体" w:eastAsia="宋体" w:cs="Times New Roman"/>
                <w:color w:val="000000"/>
                <w:sz w:val="18"/>
                <w:szCs w:val="18"/>
              </w:rPr>
              <w:t>网络</w:t>
            </w:r>
            <w:r>
              <w:rPr>
                <w:rFonts w:ascii="Times New Roman" w:hAnsi="宋体" w:eastAsia="宋体" w:cs="Times New Roman"/>
                <w:color w:val="000000"/>
                <w:sz w:val="18"/>
                <w:szCs w:val="18"/>
              </w:rPr>
              <w:t>利用率、负荷情况等）。</w:t>
            </w:r>
          </w:p>
        </w:tc>
        <w:tc>
          <w:tcPr>
            <w:tcW w:w="1776" w:type="dxa"/>
            <w:noWrap w:val="0"/>
            <w:vAlign w:val="center"/>
          </w:tcPr>
          <w:p>
            <w:pPr>
              <w:pStyle w:val="4"/>
              <w:adjustRightInd w:val="0"/>
              <w:snapToGrid w:val="0"/>
              <w:jc w:val="left"/>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每周至少检查一次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18" w:type="dxa"/>
            <w:vMerge w:val="continue"/>
            <w:noWrap w:val="0"/>
            <w:vAlign w:val="center"/>
          </w:tcPr>
          <w:p>
            <w:pPr>
              <w:pStyle w:val="4"/>
              <w:adjustRightInd w:val="0"/>
              <w:snapToGrid w:val="0"/>
              <w:jc w:val="left"/>
              <w:rPr>
                <w:rFonts w:ascii="Times New Roman" w:hAnsi="Times New Roman" w:eastAsia="宋体" w:cs="Times New Roman"/>
                <w:color w:val="000000"/>
                <w:sz w:val="18"/>
                <w:szCs w:val="18"/>
              </w:rPr>
            </w:pPr>
          </w:p>
        </w:tc>
        <w:tc>
          <w:tcPr>
            <w:tcW w:w="2995" w:type="dxa"/>
            <w:noWrap w:val="0"/>
            <w:vAlign w:val="center"/>
          </w:tcPr>
          <w:p>
            <w:pPr>
              <w:pStyle w:val="4"/>
              <w:adjustRightInd w:val="0"/>
              <w:snapToGrid w:val="0"/>
              <w:jc w:val="left"/>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⑵检查参数设置</w:t>
            </w:r>
          </w:p>
        </w:tc>
        <w:tc>
          <w:tcPr>
            <w:tcW w:w="3228" w:type="dxa"/>
            <w:noWrap w:val="0"/>
            <w:vAlign w:val="center"/>
          </w:tcPr>
          <w:p>
            <w:pPr>
              <w:pStyle w:val="4"/>
              <w:adjustRightInd w:val="0"/>
              <w:snapToGrid w:val="0"/>
              <w:jc w:val="left"/>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参数设置符合相关要求。</w:t>
            </w:r>
          </w:p>
        </w:tc>
        <w:tc>
          <w:tcPr>
            <w:tcW w:w="1776" w:type="dxa"/>
            <w:noWrap w:val="0"/>
            <w:vAlign w:val="center"/>
          </w:tcPr>
          <w:p>
            <w:pPr>
              <w:pStyle w:val="4"/>
              <w:adjustRightInd w:val="0"/>
              <w:snapToGrid w:val="0"/>
              <w:jc w:val="left"/>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每月至少检查</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bl>
    <w:p>
      <w:pPr>
        <w:widowControl w:val="0"/>
        <w:numPr>
          <w:ilvl w:val="0"/>
          <w:numId w:val="0"/>
        </w:numPr>
        <w:kinsoku/>
        <w:autoSpaceDE/>
        <w:autoSpaceDN/>
        <w:adjustRightInd/>
        <w:snapToGrid/>
        <w:jc w:val="center"/>
        <w:textAlignment w:val="auto"/>
        <w:rPr>
          <w:rFonts w:hint="default" w:ascii="宋体" w:hAnsi="宋体" w:eastAsia="宋体" w:cs="宋体"/>
          <w:b w:val="0"/>
          <w:bCs w:val="0"/>
          <w:snapToGrid/>
          <w:color w:val="0F1115"/>
          <w:sz w:val="28"/>
          <w:szCs w:val="28"/>
          <w:lang w:val="en-US" w:eastAsia="zh-CN"/>
        </w:rPr>
      </w:pPr>
    </w:p>
    <w:p>
      <w:pPr>
        <w:pStyle w:val="4"/>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表</w:t>
      </w:r>
      <w:r>
        <w:rPr>
          <w:rFonts w:ascii="Times New Roman" w:hAnsi="Times New Roman" w:eastAsia="宋体" w:cs="Times New Roman"/>
          <w:color w:val="000000"/>
          <w:kern w:val="0"/>
          <w:szCs w:val="21"/>
        </w:rPr>
        <w:t>A</w:t>
      </w:r>
      <w:r>
        <w:rPr>
          <w:rFonts w:hint="eastAsia" w:ascii="Times New Roman" w:hAnsi="Times New Roman" w:cs="Times New Roman"/>
          <w:color w:val="000000"/>
          <w:kern w:val="0"/>
          <w:szCs w:val="21"/>
          <w:lang w:val="en-US" w:eastAsia="zh-CN"/>
        </w:rPr>
        <w:t>6</w:t>
      </w:r>
      <w:r>
        <w:rPr>
          <w:rFonts w:ascii="Times New Roman" w:hAnsi="Times New Roman" w:eastAsia="宋体" w:cs="Times New Roman"/>
          <w:color w:val="000000"/>
          <w:kern w:val="0"/>
          <w:szCs w:val="21"/>
        </w:rPr>
        <w:t xml:space="preserve"> </w:t>
      </w:r>
      <w:r>
        <w:rPr>
          <w:rFonts w:ascii="Times New Roman" w:hAnsi="宋体" w:eastAsia="宋体" w:cs="Times New Roman"/>
          <w:color w:val="000000"/>
          <w:kern w:val="0"/>
          <w:szCs w:val="21"/>
        </w:rPr>
        <w:t>监控平台</w:t>
      </w:r>
      <w:r>
        <w:rPr>
          <w:rFonts w:hint="eastAsia" w:ascii="Times New Roman" w:hAnsi="宋体" w:eastAsia="宋体" w:cs="Times New Roman"/>
          <w:color w:val="000000"/>
          <w:kern w:val="0"/>
          <w:szCs w:val="21"/>
        </w:rPr>
        <w:t>巡检</w:t>
      </w:r>
      <w:r>
        <w:rPr>
          <w:rFonts w:ascii="Times New Roman" w:hAnsi="宋体" w:eastAsia="宋体" w:cs="Times New Roman"/>
          <w:color w:val="000000"/>
          <w:kern w:val="0"/>
          <w:szCs w:val="21"/>
        </w:rPr>
        <w:t>服务内容及规范</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2556"/>
        <w:gridCol w:w="3402"/>
        <w:gridCol w:w="2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46"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服务对象</w:t>
            </w:r>
          </w:p>
        </w:tc>
        <w:tc>
          <w:tcPr>
            <w:tcW w:w="2556"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服务内容</w:t>
            </w:r>
          </w:p>
        </w:tc>
        <w:tc>
          <w:tcPr>
            <w:tcW w:w="3402"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服务规范</w:t>
            </w:r>
          </w:p>
        </w:tc>
        <w:tc>
          <w:tcPr>
            <w:tcW w:w="2289" w:type="dxa"/>
            <w:shd w:val="clear" w:color="auto" w:fill="D9D9D9"/>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kern w:val="0"/>
                <w:sz w:val="18"/>
                <w:szCs w:val="18"/>
              </w:rPr>
              <w:t>服务频率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1346" w:type="dxa"/>
            <w:vMerge w:val="restart"/>
            <w:noWrap w:val="0"/>
            <w:vAlign w:val="center"/>
          </w:tcPr>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污染源自动</w:t>
            </w:r>
          </w:p>
          <w:p>
            <w:pPr>
              <w:pStyle w:val="4"/>
              <w:jc w:val="center"/>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监控平台</w:t>
            </w:r>
          </w:p>
          <w:p>
            <w:pPr>
              <w:pStyle w:val="4"/>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⑴录入与修改站点基础资料</w:t>
            </w:r>
          </w:p>
        </w:tc>
        <w:tc>
          <w:tcPr>
            <w:tcW w:w="3402"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确保站点基础资料的准确性，完整性与及时性，完成新建站点或原有站点信息更新工作；定期抽查</w:t>
            </w:r>
            <w:r>
              <w:rPr>
                <w:rFonts w:hint="eastAsia" w:ascii="Times New Roman" w:hAnsi="宋体" w:eastAsia="宋体" w:cs="Times New Roman"/>
                <w:color w:val="000000"/>
                <w:sz w:val="18"/>
                <w:szCs w:val="18"/>
              </w:rPr>
              <w:t>监控</w:t>
            </w:r>
            <w:r>
              <w:rPr>
                <w:rFonts w:ascii="Times New Roman" w:hAnsi="宋体" w:eastAsia="宋体" w:cs="Times New Roman"/>
                <w:color w:val="000000"/>
                <w:sz w:val="18"/>
                <w:szCs w:val="18"/>
              </w:rPr>
              <w:t>平台站点资料与现场实际情况的的一致性。</w:t>
            </w:r>
          </w:p>
        </w:tc>
        <w:tc>
          <w:tcPr>
            <w:tcW w:w="228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及时更新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346" w:type="dxa"/>
            <w:vMerge w:val="continue"/>
            <w:noWrap w:val="0"/>
            <w:vAlign w:val="center"/>
          </w:tcPr>
          <w:p>
            <w:pPr>
              <w:pStyle w:val="4"/>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⑵检查系统运行状况</w:t>
            </w:r>
          </w:p>
        </w:tc>
        <w:tc>
          <w:tcPr>
            <w:tcW w:w="3402"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检查</w:t>
            </w:r>
            <w:r>
              <w:rPr>
                <w:rFonts w:hint="eastAsia" w:ascii="Times New Roman" w:hAnsi="宋体" w:eastAsia="宋体" w:cs="Times New Roman"/>
                <w:color w:val="000000"/>
                <w:sz w:val="18"/>
                <w:szCs w:val="18"/>
              </w:rPr>
              <w:t>监控</w:t>
            </w:r>
            <w:r>
              <w:rPr>
                <w:rFonts w:ascii="Times New Roman" w:hAnsi="宋体" w:eastAsia="宋体" w:cs="Times New Roman"/>
                <w:color w:val="000000"/>
                <w:sz w:val="18"/>
                <w:szCs w:val="18"/>
              </w:rPr>
              <w:t>平台</w:t>
            </w:r>
            <w:r>
              <w:rPr>
                <w:rFonts w:hint="eastAsia" w:ascii="Times New Roman" w:hAnsi="宋体" w:eastAsia="宋体" w:cs="Times New Roman"/>
                <w:color w:val="000000"/>
                <w:sz w:val="18"/>
                <w:szCs w:val="18"/>
              </w:rPr>
              <w:t>上</w:t>
            </w:r>
            <w:r>
              <w:rPr>
                <w:rFonts w:ascii="Times New Roman" w:hAnsi="宋体" w:eastAsia="宋体" w:cs="Times New Roman"/>
                <w:color w:val="000000"/>
                <w:sz w:val="18"/>
                <w:szCs w:val="18"/>
              </w:rPr>
              <w:t>服务站点运行</w:t>
            </w:r>
            <w:r>
              <w:rPr>
                <w:rFonts w:hint="eastAsia" w:ascii="Times New Roman" w:hAnsi="宋体" w:eastAsia="宋体" w:cs="Times New Roman"/>
                <w:color w:val="000000"/>
                <w:sz w:val="18"/>
                <w:szCs w:val="18"/>
              </w:rPr>
              <w:t>情况</w:t>
            </w:r>
            <w:r>
              <w:rPr>
                <w:rFonts w:ascii="Times New Roman" w:hAnsi="宋体" w:eastAsia="宋体" w:cs="Times New Roman"/>
                <w:color w:val="000000"/>
                <w:sz w:val="18"/>
                <w:szCs w:val="18"/>
              </w:rPr>
              <w:t>。</w:t>
            </w:r>
          </w:p>
        </w:tc>
        <w:tc>
          <w:tcPr>
            <w:tcW w:w="228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w:t>
            </w:r>
            <w:r>
              <w:rPr>
                <w:rFonts w:hint="eastAsia" w:ascii="Times New Roman" w:hAnsi="宋体" w:eastAsia="宋体" w:cs="Times New Roman"/>
                <w:color w:val="000000"/>
                <w:sz w:val="18"/>
                <w:szCs w:val="18"/>
              </w:rPr>
              <w:t>天</w:t>
            </w:r>
            <w:r>
              <w:rPr>
                <w:rFonts w:ascii="Times New Roman" w:hAnsi="宋体" w:eastAsia="宋体" w:cs="Times New Roman"/>
                <w:color w:val="000000"/>
                <w:sz w:val="18"/>
                <w:szCs w:val="18"/>
              </w:rPr>
              <w:t>上下午至少巡检</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346" w:type="dxa"/>
            <w:vMerge w:val="continue"/>
            <w:noWrap w:val="0"/>
            <w:vAlign w:val="center"/>
          </w:tcPr>
          <w:p>
            <w:pPr>
              <w:pStyle w:val="4"/>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宋体" w:hAnsi="宋体" w:eastAsia="宋体" w:cs="Times New Roman"/>
                <w:color w:val="000000"/>
                <w:sz w:val="18"/>
                <w:szCs w:val="18"/>
              </w:rPr>
              <w:t>⑶</w:t>
            </w:r>
            <w:r>
              <w:rPr>
                <w:rFonts w:ascii="Times New Roman" w:hAnsi="宋体" w:eastAsia="宋体" w:cs="Times New Roman"/>
                <w:color w:val="000000"/>
                <w:sz w:val="18"/>
                <w:szCs w:val="18"/>
              </w:rPr>
              <w:t>检查数据</w:t>
            </w:r>
            <w:r>
              <w:rPr>
                <w:rFonts w:hint="eastAsia" w:ascii="Times New Roman" w:hAnsi="宋体" w:eastAsia="宋体" w:cs="Times New Roman"/>
                <w:color w:val="000000"/>
                <w:sz w:val="18"/>
                <w:szCs w:val="18"/>
              </w:rPr>
              <w:t>传输</w:t>
            </w:r>
            <w:r>
              <w:rPr>
                <w:rFonts w:ascii="Times New Roman" w:hAnsi="宋体" w:eastAsia="宋体" w:cs="Times New Roman"/>
                <w:color w:val="000000"/>
                <w:sz w:val="18"/>
                <w:szCs w:val="18"/>
              </w:rPr>
              <w:t>率</w:t>
            </w:r>
            <w:r>
              <w:rPr>
                <w:rFonts w:hint="eastAsia" w:ascii="Times New Roman" w:hAnsi="宋体" w:eastAsia="宋体" w:cs="Times New Roman"/>
                <w:color w:val="000000"/>
                <w:sz w:val="18"/>
                <w:szCs w:val="18"/>
              </w:rPr>
              <w:t>/数据</w:t>
            </w:r>
            <w:r>
              <w:rPr>
                <w:rFonts w:ascii="Times New Roman" w:hAnsi="宋体" w:eastAsia="宋体" w:cs="Times New Roman"/>
                <w:color w:val="000000"/>
                <w:sz w:val="18"/>
                <w:szCs w:val="18"/>
              </w:rPr>
              <w:t>传输有效率</w:t>
            </w:r>
          </w:p>
        </w:tc>
        <w:tc>
          <w:tcPr>
            <w:tcW w:w="3402"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每天巡查数据传输</w:t>
            </w:r>
            <w:r>
              <w:rPr>
                <w:rFonts w:hint="eastAsia" w:ascii="Times New Roman" w:hAnsi="宋体" w:eastAsia="宋体" w:cs="Times New Roman"/>
                <w:color w:val="000000"/>
                <w:sz w:val="18"/>
                <w:szCs w:val="18"/>
              </w:rPr>
              <w:t>率/数据</w:t>
            </w:r>
            <w:r>
              <w:rPr>
                <w:rFonts w:ascii="Times New Roman" w:hAnsi="宋体" w:eastAsia="宋体" w:cs="Times New Roman"/>
                <w:color w:val="000000"/>
                <w:sz w:val="18"/>
                <w:szCs w:val="18"/>
              </w:rPr>
              <w:t>传输</w:t>
            </w:r>
            <w:r>
              <w:rPr>
                <w:rFonts w:hint="eastAsia" w:ascii="Times New Roman" w:hAnsi="宋体" w:eastAsia="宋体" w:cs="Times New Roman"/>
                <w:color w:val="000000"/>
                <w:sz w:val="18"/>
                <w:szCs w:val="18"/>
              </w:rPr>
              <w:t>有效</w:t>
            </w:r>
            <w:r>
              <w:rPr>
                <w:rFonts w:ascii="Times New Roman" w:hAnsi="宋体" w:eastAsia="宋体" w:cs="Times New Roman"/>
                <w:color w:val="000000"/>
                <w:sz w:val="18"/>
                <w:szCs w:val="18"/>
              </w:rPr>
              <w:t>率，</w:t>
            </w:r>
            <w:r>
              <w:rPr>
                <w:rFonts w:hint="eastAsia" w:ascii="Times New Roman" w:hAnsi="宋体" w:eastAsia="宋体" w:cs="Times New Roman"/>
                <w:color w:val="000000"/>
                <w:sz w:val="18"/>
                <w:szCs w:val="18"/>
              </w:rPr>
              <w:t>出现</w:t>
            </w:r>
            <w:r>
              <w:rPr>
                <w:rFonts w:ascii="Times New Roman" w:hAnsi="宋体" w:eastAsia="宋体" w:cs="Times New Roman"/>
                <w:color w:val="000000"/>
                <w:sz w:val="18"/>
                <w:szCs w:val="18"/>
              </w:rPr>
              <w:t>异常数据情况按下述</w:t>
            </w:r>
            <w:r>
              <w:rPr>
                <w:rFonts w:ascii="Times New Roman" w:hAnsi="Times New Roman" w:eastAsia="宋体" w:cs="Times New Roman"/>
                <w:color w:val="000000"/>
                <w:sz w:val="18"/>
                <w:szCs w:val="18"/>
              </w:rPr>
              <w:t>4</w:t>
            </w:r>
            <w:r>
              <w:rPr>
                <w:rFonts w:ascii="Times New Roman" w:hAnsi="宋体" w:eastAsia="宋体" w:cs="Times New Roman"/>
                <w:color w:val="000000"/>
                <w:sz w:val="18"/>
                <w:szCs w:val="18"/>
              </w:rPr>
              <w:t>、</w:t>
            </w:r>
            <w:r>
              <w:rPr>
                <w:rFonts w:ascii="Times New Roman" w:hAnsi="Times New Roman" w:eastAsia="宋体" w:cs="Times New Roman"/>
                <w:color w:val="000000"/>
                <w:sz w:val="18"/>
                <w:szCs w:val="18"/>
              </w:rPr>
              <w:t>5</w:t>
            </w:r>
            <w:r>
              <w:rPr>
                <w:rFonts w:ascii="Times New Roman" w:hAnsi="宋体" w:eastAsia="宋体" w:cs="Times New Roman"/>
                <w:color w:val="000000"/>
                <w:sz w:val="18"/>
                <w:szCs w:val="18"/>
              </w:rPr>
              <w:t>点执行。</w:t>
            </w:r>
          </w:p>
        </w:tc>
        <w:tc>
          <w:tcPr>
            <w:tcW w:w="228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每天</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jc w:val="center"/>
        </w:trPr>
        <w:tc>
          <w:tcPr>
            <w:tcW w:w="1346" w:type="dxa"/>
            <w:vMerge w:val="continue"/>
            <w:noWrap w:val="0"/>
            <w:vAlign w:val="center"/>
          </w:tcPr>
          <w:p>
            <w:pPr>
              <w:pStyle w:val="4"/>
              <w:jc w:val="center"/>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宋体" w:hAnsi="宋体" w:eastAsia="宋体" w:cs="Times New Roman"/>
                <w:color w:val="000000"/>
                <w:sz w:val="18"/>
                <w:szCs w:val="18"/>
              </w:rPr>
              <w:t>⑷</w:t>
            </w:r>
            <w:r>
              <w:rPr>
                <w:rFonts w:ascii="Times New Roman" w:hAnsi="宋体" w:eastAsia="宋体" w:cs="Times New Roman"/>
                <w:color w:val="000000"/>
                <w:sz w:val="18"/>
                <w:szCs w:val="18"/>
              </w:rPr>
              <w:t>历史异常数据审查</w:t>
            </w:r>
          </w:p>
        </w:tc>
        <w:tc>
          <w:tcPr>
            <w:tcW w:w="3402"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检查站点</w:t>
            </w:r>
            <w:r>
              <w:rPr>
                <w:rFonts w:ascii="Times New Roman" w:hAnsi="Times New Roman" w:eastAsia="宋体" w:cs="Times New Roman"/>
                <w:color w:val="000000"/>
                <w:sz w:val="18"/>
                <w:szCs w:val="18"/>
              </w:rPr>
              <w:t>7</w:t>
            </w:r>
            <w:r>
              <w:rPr>
                <w:rFonts w:ascii="Times New Roman" w:hAnsi="宋体" w:eastAsia="宋体" w:cs="Times New Roman"/>
                <w:color w:val="000000"/>
                <w:sz w:val="18"/>
                <w:szCs w:val="18"/>
              </w:rPr>
              <w:t>天内的历史数据（分钟数据、小时数据和日数据）情况，记录异常数据与超标数据。由于网络故障、系统延迟等造成数据未及时上报的需在</w:t>
            </w:r>
            <w:r>
              <w:rPr>
                <w:rFonts w:ascii="Times New Roman" w:hAnsi="Times New Roman" w:eastAsia="宋体" w:cs="Times New Roman"/>
                <w:color w:val="000000"/>
                <w:sz w:val="18"/>
                <w:szCs w:val="18"/>
              </w:rPr>
              <w:t xml:space="preserve">10 </w:t>
            </w:r>
            <w:r>
              <w:rPr>
                <w:rFonts w:ascii="Times New Roman" w:hAnsi="宋体" w:eastAsia="宋体" w:cs="Times New Roman"/>
                <w:color w:val="000000"/>
                <w:sz w:val="18"/>
                <w:szCs w:val="18"/>
              </w:rPr>
              <w:t>天内</w:t>
            </w:r>
            <w:r>
              <w:rPr>
                <w:rFonts w:hint="eastAsia" w:ascii="Times New Roman" w:hAnsi="宋体" w:eastAsia="宋体" w:cs="Times New Roman"/>
                <w:color w:val="000000"/>
                <w:sz w:val="18"/>
                <w:szCs w:val="18"/>
              </w:rPr>
              <w:t>进行</w:t>
            </w:r>
            <w:r>
              <w:rPr>
                <w:rFonts w:ascii="Times New Roman" w:hAnsi="宋体" w:eastAsia="宋体" w:cs="Times New Roman"/>
                <w:color w:val="000000"/>
                <w:sz w:val="18"/>
                <w:szCs w:val="18"/>
              </w:rPr>
              <w:t>数据补足，</w:t>
            </w:r>
            <w:r>
              <w:rPr>
                <w:rFonts w:hint="eastAsia" w:ascii="Times New Roman" w:hAnsi="宋体" w:eastAsia="宋体" w:cs="Times New Roman"/>
                <w:color w:val="000000"/>
                <w:sz w:val="18"/>
                <w:szCs w:val="18"/>
              </w:rPr>
              <w:t>并</w:t>
            </w:r>
            <w:r>
              <w:rPr>
                <w:rFonts w:ascii="Times New Roman" w:hAnsi="宋体" w:eastAsia="宋体" w:cs="Times New Roman"/>
                <w:color w:val="000000"/>
                <w:sz w:val="18"/>
                <w:szCs w:val="18"/>
              </w:rPr>
              <w:t>报环保主管部门。</w:t>
            </w:r>
          </w:p>
        </w:tc>
        <w:tc>
          <w:tcPr>
            <w:tcW w:w="2289" w:type="dxa"/>
            <w:noWrap w:val="0"/>
            <w:vAlign w:val="center"/>
          </w:tcPr>
          <w:p>
            <w:pPr>
              <w:pStyle w:val="4"/>
              <w:widowControl/>
              <w:snapToGrid w:val="0"/>
              <w:spacing w:line="360" w:lineRule="auto"/>
              <w:jc w:val="left"/>
              <w:outlineLvl w:val="3"/>
              <w:rPr>
                <w:rFonts w:ascii="Times New Roman" w:hAnsi="Times New Roman" w:eastAsia="微软雅黑" w:cs="Times New Roman"/>
                <w:snapToGrid w:val="0"/>
                <w:color w:val="000000"/>
                <w:szCs w:val="21"/>
              </w:rPr>
            </w:pPr>
            <w:r>
              <w:rPr>
                <w:rFonts w:ascii="Times New Roman" w:hAnsi="Times New Roman" w:eastAsia="微软雅黑" w:cs="Times New Roman"/>
                <w:snapToGrid w:val="0"/>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346" w:type="dxa"/>
            <w:vMerge w:val="continue"/>
            <w:noWrap w:val="0"/>
            <w:vAlign w:val="center"/>
          </w:tcPr>
          <w:p>
            <w:pPr>
              <w:pStyle w:val="4"/>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宋体" w:hAnsi="宋体" w:eastAsia="宋体" w:cs="Times New Roman"/>
                <w:color w:val="000000"/>
                <w:sz w:val="18"/>
                <w:szCs w:val="18"/>
              </w:rPr>
              <w:t>⑸</w:t>
            </w:r>
            <w:r>
              <w:rPr>
                <w:rFonts w:ascii="Times New Roman" w:hAnsi="宋体" w:eastAsia="宋体" w:cs="Times New Roman"/>
                <w:color w:val="000000"/>
                <w:sz w:val="18"/>
                <w:szCs w:val="18"/>
              </w:rPr>
              <w:t>对异常数据、超标数据进行汇总报告</w:t>
            </w:r>
          </w:p>
        </w:tc>
        <w:tc>
          <w:tcPr>
            <w:tcW w:w="3402" w:type="dxa"/>
            <w:noWrap w:val="0"/>
            <w:vAlign w:val="center"/>
          </w:tcPr>
          <w:p>
            <w:pPr>
              <w:pStyle w:val="4"/>
              <w:rPr>
                <w:rFonts w:ascii="Times New Roman" w:hAnsi="Times New Roman" w:eastAsia="宋体" w:cs="Times New Roman"/>
                <w:color w:val="000000"/>
                <w:sz w:val="18"/>
                <w:szCs w:val="18"/>
              </w:rPr>
            </w:pPr>
            <w:r>
              <w:rPr>
                <w:rFonts w:hint="eastAsia" w:ascii="Times New Roman" w:hAnsi="宋体" w:eastAsia="宋体" w:cs="Times New Roman"/>
                <w:color w:val="000000"/>
                <w:sz w:val="18"/>
                <w:szCs w:val="18"/>
              </w:rPr>
              <w:t>运营</w:t>
            </w:r>
            <w:r>
              <w:rPr>
                <w:rFonts w:ascii="Times New Roman" w:hAnsi="宋体" w:eastAsia="宋体" w:cs="Times New Roman"/>
                <w:color w:val="000000"/>
                <w:sz w:val="18"/>
                <w:szCs w:val="18"/>
              </w:rPr>
              <w:t>服务单位协助排污单位向环保主管部门提交异常说明报告。</w:t>
            </w:r>
          </w:p>
        </w:tc>
        <w:tc>
          <w:tcPr>
            <w:tcW w:w="2289" w:type="dxa"/>
            <w:noWrap w:val="0"/>
            <w:vAlign w:val="center"/>
          </w:tcPr>
          <w:p>
            <w:pPr>
              <w:pStyle w:val="4"/>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346" w:type="dxa"/>
            <w:vMerge w:val="continue"/>
            <w:noWrap w:val="0"/>
            <w:vAlign w:val="center"/>
          </w:tcPr>
          <w:p>
            <w:pPr>
              <w:pStyle w:val="4"/>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⑹每月异常数据汇总</w:t>
            </w:r>
          </w:p>
        </w:tc>
        <w:tc>
          <w:tcPr>
            <w:tcW w:w="3402"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每月</w:t>
            </w:r>
            <w:r>
              <w:rPr>
                <w:rFonts w:ascii="Times New Roman" w:hAnsi="Times New Roman" w:eastAsia="宋体" w:cs="Times New Roman"/>
                <w:color w:val="000000"/>
                <w:sz w:val="18"/>
                <w:szCs w:val="18"/>
              </w:rPr>
              <w:t>10</w:t>
            </w:r>
            <w:r>
              <w:rPr>
                <w:rFonts w:ascii="Times New Roman" w:hAnsi="宋体" w:eastAsia="宋体" w:cs="Times New Roman"/>
                <w:color w:val="000000"/>
                <w:sz w:val="18"/>
                <w:szCs w:val="18"/>
              </w:rPr>
              <w:t>日前对上一月的数据传输及有关异常情况汇总，上报环保主管部门及排污单位。</w:t>
            </w:r>
          </w:p>
        </w:tc>
        <w:tc>
          <w:tcPr>
            <w:tcW w:w="228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每月</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346" w:type="dxa"/>
            <w:vMerge w:val="continue"/>
            <w:noWrap w:val="0"/>
            <w:vAlign w:val="center"/>
          </w:tcPr>
          <w:p>
            <w:pPr>
              <w:pStyle w:val="4"/>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宋体" w:hAnsi="宋体" w:eastAsia="宋体" w:cs="Times New Roman"/>
                <w:color w:val="000000"/>
                <w:sz w:val="18"/>
                <w:szCs w:val="18"/>
              </w:rPr>
              <w:t>⑺</w:t>
            </w:r>
            <w:r>
              <w:rPr>
                <w:rFonts w:ascii="Times New Roman" w:hAnsi="宋体" w:eastAsia="宋体" w:cs="Times New Roman"/>
                <w:color w:val="000000"/>
                <w:sz w:val="18"/>
                <w:szCs w:val="18"/>
              </w:rPr>
              <w:t>汇总季度有效性审核结果</w:t>
            </w:r>
          </w:p>
        </w:tc>
        <w:tc>
          <w:tcPr>
            <w:tcW w:w="3402"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每季度</w:t>
            </w:r>
            <w:r>
              <w:rPr>
                <w:rFonts w:hint="eastAsia" w:ascii="Times New Roman" w:hAnsi="宋体" w:eastAsia="宋体" w:cs="Times New Roman"/>
                <w:color w:val="000000"/>
                <w:sz w:val="18"/>
                <w:szCs w:val="18"/>
              </w:rPr>
              <w:t>汇总</w:t>
            </w:r>
            <w:r>
              <w:rPr>
                <w:rFonts w:ascii="Times New Roman" w:hAnsi="宋体" w:eastAsia="宋体" w:cs="Times New Roman"/>
                <w:color w:val="000000"/>
                <w:sz w:val="18"/>
                <w:szCs w:val="18"/>
              </w:rPr>
              <w:t>站点比对监测结果、数据一致性审核情况</w:t>
            </w:r>
          </w:p>
        </w:tc>
        <w:tc>
          <w:tcPr>
            <w:tcW w:w="228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每季度</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1346" w:type="dxa"/>
            <w:vMerge w:val="continue"/>
            <w:noWrap w:val="0"/>
            <w:vAlign w:val="center"/>
          </w:tcPr>
          <w:p>
            <w:pPr>
              <w:pStyle w:val="4"/>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宋体" w:hAnsi="宋体" w:eastAsia="宋体" w:cs="Times New Roman"/>
                <w:color w:val="000000"/>
                <w:sz w:val="18"/>
                <w:szCs w:val="18"/>
              </w:rPr>
              <w:t>⑻</w:t>
            </w:r>
            <w:r>
              <w:rPr>
                <w:rFonts w:ascii="Times New Roman" w:hAnsi="宋体" w:eastAsia="宋体" w:cs="Times New Roman"/>
                <w:color w:val="000000"/>
                <w:sz w:val="18"/>
                <w:szCs w:val="18"/>
              </w:rPr>
              <w:t>站点停运设置</w:t>
            </w:r>
          </w:p>
        </w:tc>
        <w:tc>
          <w:tcPr>
            <w:tcW w:w="3402"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排污单位因自身需要或其他因素需要停产，应在停运后</w:t>
            </w:r>
            <w:r>
              <w:rPr>
                <w:rFonts w:ascii="Times New Roman" w:hAnsi="Times New Roman" w:eastAsia="宋体" w:cs="Times New Roman"/>
                <w:color w:val="000000"/>
                <w:sz w:val="18"/>
                <w:szCs w:val="18"/>
              </w:rPr>
              <w:t>24</w:t>
            </w:r>
            <w:r>
              <w:rPr>
                <w:rFonts w:hint="eastAsia" w:ascii="Times New Roman" w:hAnsi="Times New Roman" w:eastAsia="宋体" w:cs="Times New Roman"/>
                <w:color w:val="000000"/>
                <w:sz w:val="18"/>
                <w:szCs w:val="18"/>
              </w:rPr>
              <w:t>小时</w:t>
            </w:r>
            <w:r>
              <w:rPr>
                <w:rFonts w:ascii="Times New Roman" w:hAnsi="宋体" w:eastAsia="宋体" w:cs="Times New Roman"/>
                <w:color w:val="000000"/>
                <w:sz w:val="18"/>
                <w:szCs w:val="18"/>
              </w:rPr>
              <w:t>内提出停运设置</w:t>
            </w:r>
            <w:r>
              <w:rPr>
                <w:rFonts w:hint="eastAsia" w:ascii="Times New Roman" w:hAnsi="宋体" w:eastAsia="宋体" w:cs="Times New Roman"/>
                <w:color w:val="000000"/>
                <w:sz w:val="18"/>
                <w:szCs w:val="18"/>
              </w:rPr>
              <w:t>申请</w:t>
            </w:r>
            <w:r>
              <w:rPr>
                <w:rFonts w:ascii="Times New Roman" w:hAnsi="宋体" w:eastAsia="宋体" w:cs="Times New Roman"/>
                <w:color w:val="000000"/>
                <w:sz w:val="18"/>
                <w:szCs w:val="18"/>
              </w:rPr>
              <w:t>，停运报告需要在下个月</w:t>
            </w:r>
            <w:r>
              <w:rPr>
                <w:rFonts w:ascii="Times New Roman" w:hAnsi="Times New Roman" w:eastAsia="宋体" w:cs="Times New Roman"/>
                <w:color w:val="000000"/>
                <w:sz w:val="18"/>
                <w:szCs w:val="18"/>
              </w:rPr>
              <w:t>5</w:t>
            </w:r>
            <w:r>
              <w:rPr>
                <w:rFonts w:hint="eastAsia" w:ascii="Times New Roman" w:hAnsi="宋体" w:eastAsia="宋体" w:cs="Times New Roman"/>
                <w:color w:val="000000"/>
                <w:sz w:val="18"/>
                <w:szCs w:val="18"/>
              </w:rPr>
              <w:t>日</w:t>
            </w:r>
            <w:r>
              <w:rPr>
                <w:rFonts w:ascii="Times New Roman" w:hAnsi="宋体" w:eastAsia="宋体" w:cs="Times New Roman"/>
                <w:color w:val="000000"/>
                <w:sz w:val="18"/>
                <w:szCs w:val="18"/>
              </w:rPr>
              <w:t>前提交；若提前恢复生产的，</w:t>
            </w:r>
            <w:r>
              <w:rPr>
                <w:rFonts w:hint="eastAsia" w:ascii="Times New Roman" w:hAnsi="宋体" w:eastAsia="宋体" w:cs="Times New Roman"/>
                <w:color w:val="000000"/>
                <w:sz w:val="18"/>
                <w:szCs w:val="18"/>
              </w:rPr>
              <w:t>应在恢复</w:t>
            </w:r>
            <w:r>
              <w:rPr>
                <w:rFonts w:ascii="Times New Roman" w:hAnsi="宋体" w:eastAsia="宋体" w:cs="Times New Roman"/>
                <w:color w:val="000000"/>
                <w:sz w:val="18"/>
                <w:szCs w:val="18"/>
              </w:rPr>
              <w:t>生产前提出</w:t>
            </w:r>
            <w:r>
              <w:rPr>
                <w:rFonts w:hint="eastAsia" w:ascii="Times New Roman" w:hAnsi="宋体" w:eastAsia="宋体" w:cs="Times New Roman"/>
                <w:color w:val="000000"/>
                <w:sz w:val="18"/>
                <w:szCs w:val="18"/>
              </w:rPr>
              <w:t>终止停运设置申请</w:t>
            </w:r>
            <w:r>
              <w:rPr>
                <w:rFonts w:ascii="Times New Roman" w:hAnsi="宋体" w:eastAsia="宋体" w:cs="Times New Roman"/>
                <w:color w:val="000000"/>
                <w:sz w:val="18"/>
                <w:szCs w:val="18"/>
              </w:rPr>
              <w:t>。</w:t>
            </w:r>
            <w:r>
              <w:rPr>
                <w:rFonts w:hint="eastAsia" w:ascii="Times New Roman" w:hAnsi="宋体" w:eastAsia="宋体" w:cs="Times New Roman"/>
                <w:color w:val="000000"/>
                <w:sz w:val="18"/>
                <w:szCs w:val="18"/>
              </w:rPr>
              <w:t>停电检修，也需提前向当地环保部门备案做好停运报备。</w:t>
            </w:r>
          </w:p>
        </w:tc>
        <w:tc>
          <w:tcPr>
            <w:tcW w:w="2289" w:type="dxa"/>
            <w:noWrap w:val="0"/>
            <w:vAlign w:val="center"/>
          </w:tcPr>
          <w:p>
            <w:pPr>
              <w:pStyle w:val="4"/>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46" w:type="dxa"/>
            <w:vMerge w:val="continue"/>
            <w:noWrap w:val="0"/>
            <w:vAlign w:val="center"/>
          </w:tcPr>
          <w:p>
            <w:pPr>
              <w:pStyle w:val="4"/>
              <w:rPr>
                <w:rFonts w:ascii="Times New Roman" w:hAnsi="Times New Roman" w:eastAsia="宋体" w:cs="Times New Roman"/>
                <w:color w:val="000000"/>
                <w:sz w:val="18"/>
                <w:szCs w:val="18"/>
              </w:rPr>
            </w:pPr>
          </w:p>
        </w:tc>
        <w:tc>
          <w:tcPr>
            <w:tcW w:w="2556" w:type="dxa"/>
            <w:noWrap w:val="0"/>
            <w:vAlign w:val="center"/>
          </w:tcPr>
          <w:p>
            <w:pPr>
              <w:pStyle w:val="4"/>
              <w:rPr>
                <w:rFonts w:ascii="Times New Roman" w:hAnsi="Times New Roman" w:eastAsia="宋体" w:cs="Times New Roman"/>
                <w:color w:val="000000"/>
                <w:sz w:val="18"/>
                <w:szCs w:val="18"/>
              </w:rPr>
            </w:pPr>
            <w:r>
              <w:rPr>
                <w:rFonts w:ascii="宋体" w:hAnsi="宋体" w:eastAsia="宋体" w:cs="Times New Roman"/>
                <w:color w:val="000000"/>
                <w:sz w:val="18"/>
                <w:szCs w:val="18"/>
              </w:rPr>
              <w:t>⑼</w:t>
            </w:r>
            <w:r>
              <w:rPr>
                <w:rFonts w:ascii="Times New Roman" w:hAnsi="宋体" w:eastAsia="宋体" w:cs="Times New Roman"/>
                <w:color w:val="000000"/>
                <w:sz w:val="18"/>
                <w:szCs w:val="18"/>
              </w:rPr>
              <w:t>巡检视频状况</w:t>
            </w:r>
          </w:p>
        </w:tc>
        <w:tc>
          <w:tcPr>
            <w:tcW w:w="3402" w:type="dxa"/>
            <w:noWrap w:val="0"/>
            <w:vAlign w:val="center"/>
          </w:tcPr>
          <w:p>
            <w:pPr>
              <w:pStyle w:val="4"/>
              <w:rPr>
                <w:rFonts w:ascii="Times New Roman" w:hAnsi="Times New Roman" w:eastAsia="宋体" w:cs="Times New Roman"/>
                <w:color w:val="000000"/>
                <w:sz w:val="18"/>
                <w:szCs w:val="18"/>
              </w:rPr>
            </w:pPr>
            <w:r>
              <w:rPr>
                <w:rFonts w:hint="eastAsia" w:ascii="Times New Roman" w:hAnsi="宋体" w:eastAsia="宋体" w:cs="Times New Roman"/>
                <w:color w:val="000000"/>
                <w:sz w:val="18"/>
                <w:szCs w:val="18"/>
              </w:rPr>
              <w:t>服务站点</w:t>
            </w:r>
            <w:r>
              <w:rPr>
                <w:rFonts w:ascii="Times New Roman" w:hAnsi="宋体" w:eastAsia="宋体" w:cs="Times New Roman"/>
                <w:color w:val="000000"/>
                <w:sz w:val="18"/>
                <w:szCs w:val="18"/>
              </w:rPr>
              <w:t>视频</w:t>
            </w:r>
            <w:r>
              <w:rPr>
                <w:rFonts w:hint="eastAsia" w:ascii="Times New Roman" w:hAnsi="宋体" w:eastAsia="宋体" w:cs="Times New Roman"/>
                <w:color w:val="000000"/>
                <w:sz w:val="18"/>
                <w:szCs w:val="18"/>
              </w:rPr>
              <w:t>传输</w:t>
            </w:r>
            <w:r>
              <w:rPr>
                <w:rFonts w:ascii="Times New Roman" w:hAnsi="宋体" w:eastAsia="宋体" w:cs="Times New Roman"/>
                <w:color w:val="000000"/>
                <w:sz w:val="18"/>
                <w:szCs w:val="18"/>
              </w:rPr>
              <w:t>正常</w:t>
            </w:r>
            <w:r>
              <w:rPr>
                <w:rFonts w:hint="eastAsia" w:ascii="Times New Roman" w:hAnsi="宋体" w:eastAsia="宋体" w:cs="Times New Roman"/>
                <w:color w:val="000000"/>
                <w:sz w:val="18"/>
                <w:szCs w:val="18"/>
              </w:rPr>
              <w:t>，</w:t>
            </w:r>
            <w:r>
              <w:rPr>
                <w:rFonts w:ascii="Times New Roman" w:hAnsi="宋体" w:eastAsia="宋体" w:cs="Times New Roman"/>
                <w:color w:val="000000"/>
                <w:sz w:val="18"/>
                <w:szCs w:val="18"/>
              </w:rPr>
              <w:t>视频功能能正常使用。</w:t>
            </w:r>
          </w:p>
        </w:tc>
        <w:tc>
          <w:tcPr>
            <w:tcW w:w="2289" w:type="dxa"/>
            <w:noWrap w:val="0"/>
            <w:vAlign w:val="center"/>
          </w:tcPr>
          <w:p>
            <w:pPr>
              <w:pStyle w:val="4"/>
              <w:rPr>
                <w:rFonts w:ascii="Times New Roman" w:hAnsi="Times New Roman" w:eastAsia="宋体" w:cs="Times New Roman"/>
                <w:color w:val="000000"/>
                <w:sz w:val="18"/>
                <w:szCs w:val="18"/>
              </w:rPr>
            </w:pPr>
            <w:r>
              <w:rPr>
                <w:rFonts w:ascii="Times New Roman" w:hAnsi="宋体" w:eastAsia="宋体" w:cs="Times New Roman"/>
                <w:color w:val="000000"/>
                <w:sz w:val="18"/>
                <w:szCs w:val="18"/>
              </w:rPr>
              <w:t>每</w:t>
            </w:r>
            <w:r>
              <w:rPr>
                <w:rFonts w:hint="eastAsia" w:ascii="Times New Roman" w:hAnsi="宋体" w:eastAsia="宋体" w:cs="Times New Roman"/>
                <w:color w:val="000000"/>
                <w:sz w:val="18"/>
                <w:szCs w:val="18"/>
              </w:rPr>
              <w:t>天</w:t>
            </w:r>
            <w:r>
              <w:rPr>
                <w:rFonts w:ascii="Times New Roman" w:hAnsi="宋体" w:eastAsia="宋体" w:cs="Times New Roman"/>
                <w:color w:val="000000"/>
                <w:sz w:val="18"/>
                <w:szCs w:val="18"/>
              </w:rPr>
              <w:t>至少巡检</w:t>
            </w:r>
            <w:r>
              <w:rPr>
                <w:rFonts w:ascii="Times New Roman" w:hAnsi="Times New Roman" w:eastAsia="宋体" w:cs="Times New Roman"/>
                <w:color w:val="000000"/>
                <w:sz w:val="18"/>
                <w:szCs w:val="18"/>
              </w:rPr>
              <w:t>1</w:t>
            </w:r>
            <w:r>
              <w:rPr>
                <w:rFonts w:ascii="Times New Roman" w:hAnsi="宋体" w:eastAsia="宋体" w:cs="Times New Roman"/>
                <w:color w:val="000000"/>
                <w:sz w:val="18"/>
                <w:szCs w:val="18"/>
              </w:rPr>
              <w:t>次</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AC6F60"/>
    <w:rsid w:val="00ED33B5"/>
    <w:rsid w:val="096825ED"/>
    <w:rsid w:val="0EFF66A1"/>
    <w:rsid w:val="14F965EC"/>
    <w:rsid w:val="150B3B6C"/>
    <w:rsid w:val="15865DD2"/>
    <w:rsid w:val="1A437E96"/>
    <w:rsid w:val="1DF94216"/>
    <w:rsid w:val="1FA2024F"/>
    <w:rsid w:val="200B0E27"/>
    <w:rsid w:val="212F23A9"/>
    <w:rsid w:val="224925A2"/>
    <w:rsid w:val="248071A7"/>
    <w:rsid w:val="249E4B4D"/>
    <w:rsid w:val="26C73227"/>
    <w:rsid w:val="2FA965B3"/>
    <w:rsid w:val="32286030"/>
    <w:rsid w:val="33B33C41"/>
    <w:rsid w:val="34EB3C21"/>
    <w:rsid w:val="36AC6F60"/>
    <w:rsid w:val="3825524B"/>
    <w:rsid w:val="389E7FBE"/>
    <w:rsid w:val="3BA66948"/>
    <w:rsid w:val="3DAB57DB"/>
    <w:rsid w:val="3F75779F"/>
    <w:rsid w:val="42B43987"/>
    <w:rsid w:val="45080CD9"/>
    <w:rsid w:val="49BD7AB6"/>
    <w:rsid w:val="51511449"/>
    <w:rsid w:val="51A537A7"/>
    <w:rsid w:val="52912CFE"/>
    <w:rsid w:val="537D1F7C"/>
    <w:rsid w:val="5638092C"/>
    <w:rsid w:val="56524891"/>
    <w:rsid w:val="56647758"/>
    <w:rsid w:val="5956311B"/>
    <w:rsid w:val="60492BB5"/>
    <w:rsid w:val="64244F66"/>
    <w:rsid w:val="6BA00772"/>
    <w:rsid w:val="6EA36C25"/>
    <w:rsid w:val="70FE409F"/>
    <w:rsid w:val="77340582"/>
    <w:rsid w:val="7980158B"/>
    <w:rsid w:val="7B66188A"/>
    <w:rsid w:val="7C515D3C"/>
    <w:rsid w:val="7D070A67"/>
    <w:rsid w:val="7D6835D6"/>
    <w:rsid w:val="7D817278"/>
    <w:rsid w:val="7D9A5F6F"/>
    <w:rsid w:val="7F82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Calibri" w:hAnsi="Calibri" w:eastAsia="宋体" w:cs="黑体"/>
      <w:kern w:val="2"/>
      <w:sz w:val="21"/>
      <w:szCs w:val="22"/>
      <w:lang w:val="en-US" w:eastAsia="zh-CN"/>
    </w:rPr>
  </w:style>
  <w:style w:type="paragraph" w:customStyle="1" w:styleId="5">
    <w:name w:val="标题 New"/>
    <w:basedOn w:val="4"/>
    <w:next w:val="4"/>
    <w:qFormat/>
    <w:uiPriority w:val="0"/>
    <w:pPr>
      <w:widowControl/>
      <w:spacing w:before="240" w:beforeLines="0" w:after="60" w:afterLines="0" w:line="360" w:lineRule="auto"/>
      <w:jc w:val="center"/>
      <w:outlineLvl w:val="0"/>
    </w:pPr>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3598</Words>
  <Characters>3655</Characters>
  <Lines>0</Lines>
  <Paragraphs>0</Paragraphs>
  <TotalTime>0</TotalTime>
  <ScaleCrop>false</ScaleCrop>
  <LinksUpToDate>false</LinksUpToDate>
  <CharactersWithSpaces>3662</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2026-01-09T09:10:00Z</dcterms:created>
  <dc:creator>黄熙颖</dc:creator>
  <cp:lastModifiedBy>黄熙颖</cp:lastModifiedBy>
  <dcterms:modified xsi:type="dcterms:W3CDTF">2026-01-12T00:42:33Z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4AF0454217EB408D800FB659D751122F</vt:lpwstr>
  </property>
</Properties>
</file>